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B24DA" w14:textId="4059F383" w:rsidR="00284AE7" w:rsidRPr="005D21AF" w:rsidRDefault="00284AE7" w:rsidP="00715275">
      <w:pPr>
        <w:pStyle w:val="LGAItemNoHeading"/>
        <w:spacing w:before="0" w:after="0" w:line="240" w:lineRule="auto"/>
        <w:rPr>
          <w:rFonts w:ascii="Arial" w:hAnsi="Arial" w:cs="Arial"/>
          <w:sz w:val="28"/>
          <w:szCs w:val="28"/>
        </w:rPr>
      </w:pPr>
      <w:r>
        <w:rPr>
          <w:rFonts w:ascii="Arial" w:hAnsi="Arial" w:cs="Arial"/>
          <w:sz w:val="28"/>
          <w:szCs w:val="28"/>
        </w:rPr>
        <w:t>Resources</w:t>
      </w:r>
      <w:r w:rsidRPr="005D21AF">
        <w:rPr>
          <w:rFonts w:ascii="Arial" w:hAnsi="Arial" w:cs="Arial"/>
          <w:sz w:val="28"/>
          <w:szCs w:val="28"/>
        </w:rPr>
        <w:t xml:space="preserve"> </w:t>
      </w:r>
      <w:r w:rsidR="00406E85">
        <w:rPr>
          <w:rFonts w:ascii="Arial" w:hAnsi="Arial" w:cs="Arial"/>
          <w:sz w:val="28"/>
          <w:szCs w:val="28"/>
        </w:rPr>
        <w:t xml:space="preserve">Board </w:t>
      </w:r>
      <w:r w:rsidRPr="005D21AF">
        <w:rPr>
          <w:rFonts w:ascii="Arial" w:hAnsi="Arial" w:cs="Arial"/>
          <w:sz w:val="28"/>
          <w:szCs w:val="28"/>
        </w:rPr>
        <w:t xml:space="preserve">– report from Cllr </w:t>
      </w:r>
      <w:r>
        <w:rPr>
          <w:rFonts w:ascii="Arial" w:hAnsi="Arial" w:cs="Arial"/>
          <w:sz w:val="28"/>
          <w:szCs w:val="28"/>
        </w:rPr>
        <w:t>Claire Kober</w:t>
      </w:r>
      <w:r w:rsidR="009F7920">
        <w:rPr>
          <w:rFonts w:ascii="Arial" w:hAnsi="Arial" w:cs="Arial"/>
          <w:sz w:val="28"/>
          <w:szCs w:val="28"/>
        </w:rPr>
        <w:t xml:space="preserve"> OBE</w:t>
      </w:r>
      <w:r>
        <w:rPr>
          <w:rFonts w:ascii="Arial" w:hAnsi="Arial" w:cs="Arial"/>
          <w:sz w:val="28"/>
          <w:szCs w:val="28"/>
        </w:rPr>
        <w:t xml:space="preserve"> (Chair)</w:t>
      </w:r>
    </w:p>
    <w:p w14:paraId="48B85320" w14:textId="77777777" w:rsidR="009900BF" w:rsidRPr="00490D8E" w:rsidRDefault="009900BF" w:rsidP="00715275">
      <w:pPr>
        <w:spacing w:after="0" w:line="240" w:lineRule="auto"/>
        <w:rPr>
          <w:b/>
          <w:lang w:val="en-US"/>
        </w:rPr>
      </w:pPr>
    </w:p>
    <w:p w14:paraId="18456B67" w14:textId="355BE84F" w:rsidR="00F378A9" w:rsidRDefault="00967807" w:rsidP="00F378A9">
      <w:pPr>
        <w:spacing w:after="0" w:line="240" w:lineRule="auto"/>
        <w:jc w:val="both"/>
        <w:rPr>
          <w:rFonts w:eastAsia="Times New Roman"/>
          <w:b/>
        </w:rPr>
      </w:pPr>
      <w:r>
        <w:rPr>
          <w:rFonts w:eastAsia="Times New Roman"/>
          <w:b/>
        </w:rPr>
        <w:t>2017 Autumn Budget</w:t>
      </w:r>
    </w:p>
    <w:p w14:paraId="3A35FE00" w14:textId="77777777" w:rsidR="00F378A9" w:rsidRDefault="00F378A9" w:rsidP="00F378A9">
      <w:pPr>
        <w:spacing w:after="0" w:line="240" w:lineRule="auto"/>
        <w:jc w:val="both"/>
        <w:rPr>
          <w:rFonts w:eastAsia="Times New Roman"/>
          <w:b/>
        </w:rPr>
      </w:pPr>
    </w:p>
    <w:p w14:paraId="7BB6BCC0" w14:textId="323FDA30" w:rsidR="00967807" w:rsidRPr="00967807" w:rsidRDefault="00F378A9" w:rsidP="00967807">
      <w:pPr>
        <w:pStyle w:val="Default"/>
        <w:numPr>
          <w:ilvl w:val="0"/>
          <w:numId w:val="11"/>
        </w:numPr>
        <w:jc w:val="both"/>
        <w:rPr>
          <w:rFonts w:eastAsia="Times New Roman"/>
          <w:b/>
        </w:rPr>
      </w:pPr>
      <w:r w:rsidRPr="00192A28">
        <w:rPr>
          <w:sz w:val="22"/>
          <w:szCs w:val="22"/>
        </w:rPr>
        <w:t>The</w:t>
      </w:r>
      <w:r w:rsidR="00967807">
        <w:rPr>
          <w:sz w:val="22"/>
          <w:szCs w:val="22"/>
        </w:rPr>
        <w:t xml:space="preserve"> LGA submitted its representation to the Chancellor’s 2017 </w:t>
      </w:r>
      <w:hyperlink r:id="rId11" w:history="1">
        <w:r w:rsidR="00B91953" w:rsidRPr="00B91953">
          <w:rPr>
            <w:rStyle w:val="Hyperlink"/>
            <w:sz w:val="22"/>
            <w:szCs w:val="22"/>
          </w:rPr>
          <w:t>Autumn Budget process</w:t>
        </w:r>
      </w:hyperlink>
      <w:bookmarkStart w:id="0" w:name="_GoBack"/>
      <w:bookmarkEnd w:id="0"/>
      <w:r w:rsidR="00967807">
        <w:rPr>
          <w:sz w:val="22"/>
          <w:szCs w:val="22"/>
        </w:rPr>
        <w:t xml:space="preserve">. The submission follows the LGA’s publication launched at the annual conference in July 2017, </w:t>
      </w:r>
      <w:r w:rsidR="00967807">
        <w:rPr>
          <w:i/>
          <w:sz w:val="22"/>
          <w:szCs w:val="22"/>
        </w:rPr>
        <w:t>Growing Places</w:t>
      </w:r>
      <w:r w:rsidR="00967807">
        <w:rPr>
          <w:sz w:val="22"/>
          <w:szCs w:val="22"/>
        </w:rPr>
        <w:t>. Based on advice provided by lead members of Resources Board and other member groups, the submission focusses on the financial challenges that local services face over the remaining decade, highlighting the £5.8 billion fundin</w:t>
      </w:r>
      <w:r w:rsidR="00D722EB">
        <w:rPr>
          <w:sz w:val="22"/>
          <w:szCs w:val="22"/>
        </w:rPr>
        <w:t>g gap that forms by 2019/20. LGA</w:t>
      </w:r>
      <w:r w:rsidR="00967807">
        <w:rPr>
          <w:sz w:val="22"/>
          <w:szCs w:val="22"/>
        </w:rPr>
        <w:t xml:space="preserve"> officers will be providing an on-the-day briefing on </w:t>
      </w:r>
      <w:r w:rsidR="00D722EB">
        <w:rPr>
          <w:sz w:val="22"/>
          <w:szCs w:val="22"/>
        </w:rPr>
        <w:t xml:space="preserve">the Chancellor’s Autumn Budget on </w:t>
      </w:r>
      <w:r w:rsidR="00967807">
        <w:rPr>
          <w:sz w:val="22"/>
          <w:szCs w:val="22"/>
        </w:rPr>
        <w:t>22 November.</w:t>
      </w:r>
    </w:p>
    <w:p w14:paraId="662F985C" w14:textId="2C740F55" w:rsidR="00F378A9" w:rsidRDefault="00967807" w:rsidP="00967807">
      <w:pPr>
        <w:pStyle w:val="Default"/>
        <w:ind w:left="360"/>
        <w:jc w:val="both"/>
        <w:rPr>
          <w:rFonts w:eastAsia="Times New Roman"/>
          <w:b/>
        </w:rPr>
      </w:pPr>
      <w:r>
        <w:rPr>
          <w:rFonts w:eastAsia="Times New Roman"/>
          <w:b/>
        </w:rPr>
        <w:t xml:space="preserve"> </w:t>
      </w:r>
    </w:p>
    <w:p w14:paraId="4AF4E287" w14:textId="4ED870BA" w:rsidR="00F378A9" w:rsidRDefault="00F378A9" w:rsidP="00F378A9">
      <w:pPr>
        <w:spacing w:after="0" w:line="240" w:lineRule="auto"/>
        <w:jc w:val="both"/>
        <w:rPr>
          <w:rFonts w:eastAsia="Times New Roman"/>
          <w:b/>
        </w:rPr>
      </w:pPr>
      <w:r>
        <w:rPr>
          <w:rFonts w:eastAsia="Times New Roman"/>
          <w:b/>
        </w:rPr>
        <w:t>Business rate retention</w:t>
      </w:r>
      <w:r w:rsidR="00967807">
        <w:rPr>
          <w:rFonts w:eastAsia="Times New Roman"/>
          <w:b/>
        </w:rPr>
        <w:t xml:space="preserve"> and Fair Funding Review</w:t>
      </w:r>
    </w:p>
    <w:p w14:paraId="2FA33E78" w14:textId="77777777" w:rsidR="00F378A9" w:rsidRDefault="00F378A9" w:rsidP="00F378A9">
      <w:pPr>
        <w:spacing w:after="0" w:line="240" w:lineRule="auto"/>
        <w:jc w:val="both"/>
        <w:rPr>
          <w:rFonts w:eastAsia="Times New Roman"/>
          <w:b/>
        </w:rPr>
      </w:pPr>
    </w:p>
    <w:p w14:paraId="4CD80EC4" w14:textId="6DC8BA0D" w:rsidR="003A3AE9" w:rsidRDefault="003A3AE9" w:rsidP="003A3AE9">
      <w:pPr>
        <w:pStyle w:val="ListParagraph"/>
        <w:numPr>
          <w:ilvl w:val="0"/>
          <w:numId w:val="11"/>
        </w:numPr>
        <w:rPr>
          <w:rFonts w:ascii="Arial" w:hAnsi="Arial" w:cs="Arial"/>
          <w:color w:val="000000"/>
          <w:sz w:val="22"/>
          <w:szCs w:val="22"/>
          <w:lang w:eastAsia="en-US"/>
        </w:rPr>
      </w:pPr>
      <w:r w:rsidRPr="003A3AE9">
        <w:rPr>
          <w:rFonts w:ascii="Arial" w:hAnsi="Arial" w:cs="Arial"/>
          <w:color w:val="000000"/>
          <w:sz w:val="22"/>
          <w:szCs w:val="22"/>
          <w:lang w:eastAsia="en-US"/>
        </w:rPr>
        <w:t>While t</w:t>
      </w:r>
      <w:r>
        <w:rPr>
          <w:rFonts w:ascii="Arial" w:hAnsi="Arial" w:cs="Arial"/>
          <w:color w:val="000000"/>
          <w:sz w:val="22"/>
          <w:szCs w:val="22"/>
          <w:lang w:eastAsia="en-US"/>
        </w:rPr>
        <w:t xml:space="preserve">he newly elected Government </w:t>
      </w:r>
      <w:r w:rsidRPr="003A3AE9">
        <w:rPr>
          <w:rFonts w:ascii="Arial" w:hAnsi="Arial" w:cs="Arial"/>
          <w:color w:val="000000"/>
          <w:sz w:val="22"/>
          <w:szCs w:val="22"/>
          <w:lang w:eastAsia="en-US"/>
        </w:rPr>
        <w:t>opted not to reintroduce the Local Government Finance Bill as part of the Queen’s Speech, the LGA continue</w:t>
      </w:r>
      <w:r>
        <w:rPr>
          <w:rFonts w:ascii="Arial" w:hAnsi="Arial" w:cs="Arial"/>
          <w:color w:val="000000"/>
          <w:sz w:val="22"/>
          <w:szCs w:val="22"/>
          <w:lang w:eastAsia="en-US"/>
        </w:rPr>
        <w:t>d</w:t>
      </w:r>
      <w:r w:rsidRPr="003A3AE9">
        <w:rPr>
          <w:rFonts w:ascii="Arial" w:hAnsi="Arial" w:cs="Arial"/>
          <w:color w:val="000000"/>
          <w:sz w:val="22"/>
          <w:szCs w:val="22"/>
          <w:lang w:eastAsia="en-US"/>
        </w:rPr>
        <w:t xml:space="preserve"> to press for greater business rates retention as elements of it can be introduced without new primary legislation. </w:t>
      </w:r>
    </w:p>
    <w:p w14:paraId="48967125" w14:textId="77777777" w:rsidR="003A3AE9" w:rsidRPr="003A3AE9" w:rsidRDefault="003A3AE9" w:rsidP="00D3159C">
      <w:pPr>
        <w:pStyle w:val="ListParagraph"/>
        <w:ind w:left="360"/>
        <w:rPr>
          <w:rFonts w:ascii="Arial" w:hAnsi="Arial" w:cs="Arial"/>
          <w:color w:val="000000"/>
          <w:sz w:val="22"/>
          <w:szCs w:val="22"/>
          <w:lang w:eastAsia="en-US"/>
        </w:rPr>
      </w:pPr>
    </w:p>
    <w:p w14:paraId="34653F94" w14:textId="3C0A8A72" w:rsidR="00F378A9" w:rsidRDefault="003A3AE9" w:rsidP="0025511B">
      <w:pPr>
        <w:pStyle w:val="Default"/>
        <w:numPr>
          <w:ilvl w:val="0"/>
          <w:numId w:val="11"/>
        </w:numPr>
        <w:jc w:val="both"/>
        <w:rPr>
          <w:sz w:val="22"/>
          <w:szCs w:val="22"/>
        </w:rPr>
      </w:pPr>
      <w:r>
        <w:rPr>
          <w:sz w:val="22"/>
          <w:szCs w:val="22"/>
        </w:rPr>
        <w:t>We have been successful in restarting t</w:t>
      </w:r>
      <w:r w:rsidR="00967807">
        <w:rPr>
          <w:sz w:val="22"/>
          <w:szCs w:val="22"/>
        </w:rPr>
        <w:t xml:space="preserve">he work of the jointly chaired DCLG/LGA </w:t>
      </w:r>
      <w:r w:rsidR="004A5A49">
        <w:rPr>
          <w:sz w:val="22"/>
          <w:szCs w:val="22"/>
        </w:rPr>
        <w:t>S</w:t>
      </w:r>
      <w:r w:rsidR="00967807">
        <w:rPr>
          <w:sz w:val="22"/>
          <w:szCs w:val="22"/>
        </w:rPr>
        <w:t xml:space="preserve">teering </w:t>
      </w:r>
      <w:r w:rsidR="004A5A49">
        <w:rPr>
          <w:sz w:val="22"/>
          <w:szCs w:val="22"/>
        </w:rPr>
        <w:t>G</w:t>
      </w:r>
      <w:r w:rsidR="00967807">
        <w:rPr>
          <w:sz w:val="22"/>
          <w:szCs w:val="22"/>
        </w:rPr>
        <w:t xml:space="preserve">roup </w:t>
      </w:r>
      <w:r w:rsidR="004A5A49">
        <w:rPr>
          <w:sz w:val="22"/>
          <w:szCs w:val="22"/>
        </w:rPr>
        <w:t xml:space="preserve">on </w:t>
      </w:r>
      <w:r w:rsidR="00D3159C">
        <w:rPr>
          <w:sz w:val="22"/>
          <w:szCs w:val="22"/>
        </w:rPr>
        <w:t xml:space="preserve">further </w:t>
      </w:r>
      <w:r w:rsidR="004A5A49">
        <w:rPr>
          <w:sz w:val="22"/>
          <w:szCs w:val="22"/>
        </w:rPr>
        <w:t>Business Rates Retention</w:t>
      </w:r>
      <w:r w:rsidR="00967807">
        <w:rPr>
          <w:sz w:val="22"/>
          <w:szCs w:val="22"/>
        </w:rPr>
        <w:t>.</w:t>
      </w:r>
      <w:r>
        <w:rPr>
          <w:sz w:val="22"/>
          <w:szCs w:val="22"/>
        </w:rPr>
        <w:t xml:space="preserve"> The initial point of focus for the group is to consider what aspects of the reforms can be delivered within the spirit of the 2013 legislation that introduced 50 per cent retention. T</w:t>
      </w:r>
      <w:r w:rsidR="00F378A9" w:rsidRPr="00192A28">
        <w:rPr>
          <w:sz w:val="22"/>
          <w:szCs w:val="22"/>
        </w:rPr>
        <w:t>he LGA</w:t>
      </w:r>
      <w:r>
        <w:rPr>
          <w:sz w:val="22"/>
          <w:szCs w:val="22"/>
        </w:rPr>
        <w:t xml:space="preserve"> also</w:t>
      </w:r>
      <w:r w:rsidR="00F378A9" w:rsidRPr="00192A28">
        <w:rPr>
          <w:sz w:val="22"/>
          <w:szCs w:val="22"/>
        </w:rPr>
        <w:t xml:space="preserve"> </w:t>
      </w:r>
      <w:r w:rsidR="00967807">
        <w:rPr>
          <w:sz w:val="22"/>
          <w:szCs w:val="22"/>
        </w:rPr>
        <w:t xml:space="preserve">wrote </w:t>
      </w:r>
      <w:r w:rsidR="00F378A9" w:rsidRPr="00192A28">
        <w:rPr>
          <w:sz w:val="22"/>
          <w:szCs w:val="22"/>
        </w:rPr>
        <w:t>to the</w:t>
      </w:r>
      <w:r w:rsidR="00967807">
        <w:rPr>
          <w:sz w:val="22"/>
          <w:szCs w:val="22"/>
        </w:rPr>
        <w:t xml:space="preserve"> Secretary of State expressing its wish to work with the Government on implementation but with a clear view that additional funding delivered through business rates should be used to plug funding gaps in existing services, and not to transfer any additional responsibilities.</w:t>
      </w:r>
      <w:r w:rsidR="00F378A9" w:rsidRPr="00192A28">
        <w:rPr>
          <w:sz w:val="22"/>
          <w:szCs w:val="22"/>
        </w:rPr>
        <w:t xml:space="preserve"> </w:t>
      </w:r>
    </w:p>
    <w:p w14:paraId="4A05D6DB" w14:textId="77777777" w:rsidR="00967807" w:rsidRPr="00192A28" w:rsidRDefault="00967807" w:rsidP="00967807">
      <w:pPr>
        <w:pStyle w:val="Default"/>
        <w:ind w:left="360"/>
        <w:jc w:val="both"/>
        <w:rPr>
          <w:sz w:val="22"/>
          <w:szCs w:val="22"/>
        </w:rPr>
      </w:pPr>
    </w:p>
    <w:p w14:paraId="70B9B75E" w14:textId="5BDC57B1" w:rsidR="003A3AE9" w:rsidRDefault="003A3AE9" w:rsidP="00F378A9">
      <w:pPr>
        <w:pStyle w:val="Default"/>
        <w:numPr>
          <w:ilvl w:val="0"/>
          <w:numId w:val="11"/>
        </w:numPr>
        <w:jc w:val="both"/>
        <w:rPr>
          <w:sz w:val="22"/>
          <w:szCs w:val="22"/>
        </w:rPr>
      </w:pPr>
      <w:r>
        <w:rPr>
          <w:sz w:val="22"/>
          <w:szCs w:val="22"/>
        </w:rPr>
        <w:t>The Government’s work on t</w:t>
      </w:r>
      <w:r w:rsidR="00967807">
        <w:rPr>
          <w:sz w:val="22"/>
          <w:szCs w:val="22"/>
        </w:rPr>
        <w:t>he Fair Funding Review</w:t>
      </w:r>
      <w:r>
        <w:rPr>
          <w:sz w:val="22"/>
          <w:szCs w:val="22"/>
        </w:rPr>
        <w:t xml:space="preserve"> has restarted following the General Election. LGA </w:t>
      </w:r>
      <w:r w:rsidR="00967807">
        <w:rPr>
          <w:sz w:val="22"/>
          <w:szCs w:val="22"/>
        </w:rPr>
        <w:t>o</w:t>
      </w:r>
      <w:r w:rsidR="00F378A9" w:rsidRPr="00192A28">
        <w:rPr>
          <w:sz w:val="22"/>
          <w:szCs w:val="22"/>
        </w:rPr>
        <w:t xml:space="preserve">fficers </w:t>
      </w:r>
      <w:r w:rsidR="00967807">
        <w:rPr>
          <w:sz w:val="22"/>
          <w:szCs w:val="22"/>
        </w:rPr>
        <w:t xml:space="preserve">continue to jointly chair the technical working group together with DCLG colleagues. The Government’s draft work plan for the review now aims for implementation by April 2020, a year later than the original timescale. </w:t>
      </w:r>
    </w:p>
    <w:p w14:paraId="1EB6CBBD" w14:textId="77777777" w:rsidR="003A3AE9" w:rsidRDefault="003A3AE9" w:rsidP="00D3159C">
      <w:pPr>
        <w:pStyle w:val="ListParagraph"/>
        <w:rPr>
          <w:sz w:val="22"/>
          <w:szCs w:val="22"/>
        </w:rPr>
      </w:pPr>
    </w:p>
    <w:p w14:paraId="30A22A4F" w14:textId="1FBC87E9" w:rsidR="00967807" w:rsidRDefault="00967807" w:rsidP="00F378A9">
      <w:pPr>
        <w:pStyle w:val="Default"/>
        <w:numPr>
          <w:ilvl w:val="0"/>
          <w:numId w:val="11"/>
        </w:numPr>
        <w:jc w:val="both"/>
        <w:rPr>
          <w:sz w:val="22"/>
          <w:szCs w:val="22"/>
        </w:rPr>
      </w:pPr>
      <w:r>
        <w:rPr>
          <w:sz w:val="22"/>
          <w:szCs w:val="22"/>
        </w:rPr>
        <w:t>The LGA’s view is that the Fair Funding Review can only be successful if additional resources are introduced to help smooth transition from the current distribution of funding to the new one.</w:t>
      </w:r>
    </w:p>
    <w:p w14:paraId="5C29A2D2" w14:textId="77777777" w:rsidR="00967807" w:rsidRDefault="00967807" w:rsidP="00967807">
      <w:pPr>
        <w:pStyle w:val="ListParagraph"/>
        <w:rPr>
          <w:sz w:val="22"/>
          <w:szCs w:val="22"/>
        </w:rPr>
      </w:pPr>
    </w:p>
    <w:p w14:paraId="282D1A51" w14:textId="09DAB7B7" w:rsidR="003A3AE9" w:rsidRDefault="00967807" w:rsidP="00F378A9">
      <w:pPr>
        <w:pStyle w:val="Default"/>
        <w:numPr>
          <w:ilvl w:val="0"/>
          <w:numId w:val="11"/>
        </w:numPr>
        <w:jc w:val="both"/>
        <w:rPr>
          <w:sz w:val="22"/>
          <w:szCs w:val="22"/>
        </w:rPr>
      </w:pPr>
      <w:r>
        <w:rPr>
          <w:sz w:val="22"/>
          <w:szCs w:val="22"/>
        </w:rPr>
        <w:t xml:space="preserve">LGA officers are developing proposals for further work on the </w:t>
      </w:r>
      <w:r w:rsidR="004A5A49">
        <w:rPr>
          <w:sz w:val="22"/>
          <w:szCs w:val="22"/>
        </w:rPr>
        <w:t xml:space="preserve">Fair Funding </w:t>
      </w:r>
      <w:r>
        <w:rPr>
          <w:sz w:val="22"/>
          <w:szCs w:val="22"/>
        </w:rPr>
        <w:t xml:space="preserve">review to help inform member authorities about the impact of </w:t>
      </w:r>
      <w:r w:rsidR="004A5A49">
        <w:rPr>
          <w:sz w:val="22"/>
          <w:szCs w:val="22"/>
        </w:rPr>
        <w:t xml:space="preserve">potential future </w:t>
      </w:r>
      <w:r>
        <w:rPr>
          <w:sz w:val="22"/>
          <w:szCs w:val="22"/>
        </w:rPr>
        <w:t xml:space="preserve">propositions on their council. These proposals are being considered by LGA Leadership Board and LGA Executive on 18 and 19 October, respectively. </w:t>
      </w:r>
    </w:p>
    <w:p w14:paraId="619A2BD2" w14:textId="77777777" w:rsidR="003A3AE9" w:rsidRDefault="003A3AE9" w:rsidP="00D3159C">
      <w:pPr>
        <w:pStyle w:val="ListParagraph"/>
        <w:rPr>
          <w:sz w:val="22"/>
          <w:szCs w:val="22"/>
        </w:rPr>
      </w:pPr>
    </w:p>
    <w:p w14:paraId="21BA54A9" w14:textId="2ABDCB7D" w:rsidR="00967807" w:rsidRDefault="00967807" w:rsidP="00F378A9">
      <w:pPr>
        <w:pStyle w:val="Default"/>
        <w:numPr>
          <w:ilvl w:val="0"/>
          <w:numId w:val="11"/>
        </w:numPr>
        <w:jc w:val="both"/>
        <w:rPr>
          <w:sz w:val="22"/>
          <w:szCs w:val="22"/>
        </w:rPr>
      </w:pPr>
      <w:r>
        <w:rPr>
          <w:sz w:val="22"/>
          <w:szCs w:val="22"/>
        </w:rPr>
        <w:t xml:space="preserve">The Business Rates </w:t>
      </w:r>
      <w:r w:rsidR="00D3159C">
        <w:rPr>
          <w:sz w:val="22"/>
          <w:szCs w:val="22"/>
        </w:rPr>
        <w:t xml:space="preserve">Retention </w:t>
      </w:r>
      <w:r>
        <w:rPr>
          <w:sz w:val="22"/>
          <w:szCs w:val="22"/>
        </w:rPr>
        <w:t>Task and Finish Group, which I chair</w:t>
      </w:r>
      <w:r w:rsidR="00D3159C">
        <w:rPr>
          <w:sz w:val="22"/>
          <w:szCs w:val="22"/>
        </w:rPr>
        <w:t xml:space="preserve"> and</w:t>
      </w:r>
      <w:r w:rsidR="003A3AE9">
        <w:rPr>
          <w:sz w:val="22"/>
          <w:szCs w:val="22"/>
        </w:rPr>
        <w:t xml:space="preserve"> helps </w:t>
      </w:r>
      <w:r w:rsidR="00D3159C">
        <w:rPr>
          <w:sz w:val="22"/>
          <w:szCs w:val="22"/>
        </w:rPr>
        <w:t xml:space="preserve">to </w:t>
      </w:r>
      <w:r w:rsidR="003A3AE9">
        <w:rPr>
          <w:sz w:val="22"/>
          <w:szCs w:val="22"/>
        </w:rPr>
        <w:t>develop policy on business rates retention and the fair funding review,</w:t>
      </w:r>
      <w:r>
        <w:rPr>
          <w:sz w:val="22"/>
          <w:szCs w:val="22"/>
        </w:rPr>
        <w:t xml:space="preserve"> will</w:t>
      </w:r>
      <w:r w:rsidR="004A5A49">
        <w:rPr>
          <w:sz w:val="22"/>
          <w:szCs w:val="22"/>
        </w:rPr>
        <w:t xml:space="preserve"> be reconvened</w:t>
      </w:r>
      <w:r>
        <w:rPr>
          <w:sz w:val="22"/>
          <w:szCs w:val="22"/>
        </w:rPr>
        <w:t xml:space="preserve"> </w:t>
      </w:r>
      <w:r w:rsidR="00D3159C">
        <w:rPr>
          <w:sz w:val="22"/>
          <w:szCs w:val="22"/>
        </w:rPr>
        <w:t>shortly.</w:t>
      </w:r>
    </w:p>
    <w:p w14:paraId="57A7B6DA" w14:textId="77777777" w:rsidR="00967807" w:rsidRDefault="00967807" w:rsidP="00967807">
      <w:pPr>
        <w:pStyle w:val="ListParagraph"/>
        <w:rPr>
          <w:sz w:val="22"/>
          <w:szCs w:val="22"/>
        </w:rPr>
      </w:pPr>
    </w:p>
    <w:p w14:paraId="15B5CFC8" w14:textId="24E2AAB4" w:rsidR="00D45DEA" w:rsidRDefault="00D45DEA" w:rsidP="00F378A9">
      <w:pPr>
        <w:spacing w:after="0" w:line="240" w:lineRule="auto"/>
        <w:jc w:val="both"/>
        <w:rPr>
          <w:rFonts w:eastAsia="Times New Roman"/>
          <w:b/>
        </w:rPr>
      </w:pPr>
      <w:r>
        <w:rPr>
          <w:rFonts w:eastAsia="Times New Roman"/>
          <w:b/>
        </w:rPr>
        <w:t>Spring Budget – business rates reliefs</w:t>
      </w:r>
    </w:p>
    <w:p w14:paraId="0E531894" w14:textId="77777777" w:rsidR="00D45DEA" w:rsidRDefault="00D45DEA" w:rsidP="00F378A9">
      <w:pPr>
        <w:spacing w:after="0" w:line="240" w:lineRule="auto"/>
        <w:jc w:val="both"/>
        <w:rPr>
          <w:rFonts w:eastAsia="Times New Roman"/>
          <w:b/>
        </w:rPr>
      </w:pPr>
    </w:p>
    <w:p w14:paraId="747CD185" w14:textId="656589FD" w:rsidR="00D45DEA" w:rsidRPr="00D45DEA" w:rsidRDefault="00D45DEA" w:rsidP="00D45DEA">
      <w:pPr>
        <w:pStyle w:val="ListParagraph"/>
        <w:numPr>
          <w:ilvl w:val="0"/>
          <w:numId w:val="11"/>
        </w:numPr>
        <w:jc w:val="both"/>
        <w:rPr>
          <w:rFonts w:eastAsia="Times New Roman"/>
          <w:b/>
        </w:rPr>
      </w:pPr>
      <w:r>
        <w:rPr>
          <w:rFonts w:ascii="Arial" w:eastAsia="Times New Roman" w:hAnsi="Arial" w:cs="Arial"/>
          <w:sz w:val="22"/>
          <w:szCs w:val="22"/>
        </w:rPr>
        <w:t>Following increased Government pressure for billing authorities to quickly implement the business rates reliefs schemes announced in the 2017 Spring Budget (including the £300</w:t>
      </w:r>
      <w:r w:rsidR="003501FC">
        <w:rPr>
          <w:rFonts w:ascii="Arial" w:eastAsia="Times New Roman" w:hAnsi="Arial" w:cs="Arial"/>
          <w:sz w:val="22"/>
          <w:szCs w:val="22"/>
        </w:rPr>
        <w:t xml:space="preserve"> </w:t>
      </w:r>
      <w:r>
        <w:rPr>
          <w:rFonts w:ascii="Arial" w:eastAsia="Times New Roman" w:hAnsi="Arial" w:cs="Arial"/>
          <w:sz w:val="22"/>
          <w:szCs w:val="22"/>
        </w:rPr>
        <w:t>m</w:t>
      </w:r>
      <w:r w:rsidR="003501FC">
        <w:rPr>
          <w:rFonts w:ascii="Arial" w:eastAsia="Times New Roman" w:hAnsi="Arial" w:cs="Arial"/>
          <w:sz w:val="22"/>
          <w:szCs w:val="22"/>
        </w:rPr>
        <w:t>illion</w:t>
      </w:r>
      <w:r>
        <w:rPr>
          <w:rFonts w:ascii="Arial" w:eastAsia="Times New Roman" w:hAnsi="Arial" w:cs="Arial"/>
          <w:sz w:val="22"/>
          <w:szCs w:val="22"/>
        </w:rPr>
        <w:t xml:space="preserve"> funding package for local discretionary schemes), officers collected evidence about local implementation and potential reasons for delays. Using the information the LGA was able to show that in many cases the delays are out of billing authority control, especially in relation to late and changing guidance and software issues. </w:t>
      </w:r>
    </w:p>
    <w:p w14:paraId="61C45100" w14:textId="77777777" w:rsidR="00D45DEA" w:rsidRPr="00D45DEA" w:rsidRDefault="00D45DEA" w:rsidP="00D45DEA">
      <w:pPr>
        <w:pStyle w:val="ListParagraph"/>
        <w:ind w:left="360"/>
        <w:jc w:val="both"/>
        <w:rPr>
          <w:rFonts w:eastAsia="Times New Roman"/>
          <w:b/>
        </w:rPr>
      </w:pPr>
    </w:p>
    <w:p w14:paraId="081F614C" w14:textId="0E8F7D20" w:rsidR="00D45DEA" w:rsidRPr="00D45DEA" w:rsidRDefault="00D45DEA" w:rsidP="00D45DEA">
      <w:pPr>
        <w:pStyle w:val="ListParagraph"/>
        <w:numPr>
          <w:ilvl w:val="0"/>
          <w:numId w:val="11"/>
        </w:numPr>
        <w:jc w:val="both"/>
        <w:rPr>
          <w:rFonts w:eastAsia="Times New Roman"/>
          <w:b/>
        </w:rPr>
      </w:pPr>
      <w:r>
        <w:rPr>
          <w:rFonts w:ascii="Arial" w:eastAsia="Times New Roman" w:hAnsi="Arial" w:cs="Arial"/>
          <w:sz w:val="22"/>
          <w:szCs w:val="22"/>
        </w:rPr>
        <w:lastRenderedPageBreak/>
        <w:t>The Government has stated it will start publishing a list of billing authorities that have started rebilling on the basis of all of the three reliefs. We were successful in convincing the Government to do this instead of ‘naming and shaming’ councils that were not in that position.</w:t>
      </w:r>
    </w:p>
    <w:p w14:paraId="299B7970" w14:textId="77777777" w:rsidR="00D45DEA" w:rsidRDefault="00D45DEA" w:rsidP="00F378A9">
      <w:pPr>
        <w:spacing w:after="0" w:line="240" w:lineRule="auto"/>
        <w:jc w:val="both"/>
        <w:rPr>
          <w:rFonts w:eastAsia="Times New Roman"/>
          <w:b/>
        </w:rPr>
      </w:pPr>
    </w:p>
    <w:p w14:paraId="0946A682" w14:textId="0BABDC7F" w:rsidR="00F378A9" w:rsidRDefault="0025511B" w:rsidP="00F378A9">
      <w:pPr>
        <w:spacing w:after="0" w:line="240" w:lineRule="auto"/>
        <w:jc w:val="both"/>
        <w:rPr>
          <w:rFonts w:eastAsia="Times New Roman"/>
          <w:b/>
        </w:rPr>
      </w:pPr>
      <w:r w:rsidRPr="0025511B">
        <w:rPr>
          <w:rFonts w:eastAsia="Times New Roman"/>
          <w:b/>
        </w:rPr>
        <w:t>Cipfa Prudential Code for Capital Finance in Local Authorities and Cipfa Treasury Management Code of Practice</w:t>
      </w:r>
    </w:p>
    <w:p w14:paraId="1AC4D1A8" w14:textId="77777777" w:rsidR="0025511B" w:rsidRDefault="0025511B" w:rsidP="00F378A9">
      <w:pPr>
        <w:spacing w:after="0" w:line="240" w:lineRule="auto"/>
        <w:jc w:val="both"/>
        <w:rPr>
          <w:rFonts w:eastAsia="Times New Roman"/>
          <w:b/>
        </w:rPr>
      </w:pPr>
    </w:p>
    <w:p w14:paraId="07F4F5DC" w14:textId="63FEDDB5" w:rsidR="00F378A9" w:rsidRDefault="0025511B" w:rsidP="00967807">
      <w:pPr>
        <w:pStyle w:val="ListParagraph"/>
        <w:numPr>
          <w:ilvl w:val="0"/>
          <w:numId w:val="11"/>
        </w:numPr>
        <w:jc w:val="both"/>
        <w:rPr>
          <w:rFonts w:ascii="Arial" w:eastAsia="Times New Roman" w:hAnsi="Arial" w:cs="Arial"/>
          <w:sz w:val="22"/>
          <w:szCs w:val="22"/>
        </w:rPr>
      </w:pPr>
      <w:r w:rsidRPr="0025511B">
        <w:rPr>
          <w:rFonts w:ascii="Arial" w:eastAsia="Times New Roman" w:hAnsi="Arial" w:cs="Arial"/>
          <w:sz w:val="22"/>
          <w:szCs w:val="22"/>
        </w:rPr>
        <w:t>T</w:t>
      </w:r>
      <w:r>
        <w:rPr>
          <w:rFonts w:ascii="Arial" w:eastAsia="Times New Roman" w:hAnsi="Arial" w:cs="Arial"/>
          <w:sz w:val="22"/>
          <w:szCs w:val="22"/>
        </w:rPr>
        <w:t>he Resources Boar</w:t>
      </w:r>
      <w:r w:rsidRPr="0025511B">
        <w:rPr>
          <w:rFonts w:ascii="Arial" w:eastAsia="Times New Roman" w:hAnsi="Arial" w:cs="Arial"/>
          <w:sz w:val="22"/>
          <w:szCs w:val="22"/>
        </w:rPr>
        <w:t>d approved a r</w:t>
      </w:r>
      <w:r>
        <w:rPr>
          <w:rFonts w:ascii="Arial" w:eastAsia="Times New Roman" w:hAnsi="Arial" w:cs="Arial"/>
          <w:sz w:val="22"/>
          <w:szCs w:val="22"/>
        </w:rPr>
        <w:t xml:space="preserve">esponse to the Cipfa consultations on the </w:t>
      </w:r>
      <w:r w:rsidR="008F36D7" w:rsidRPr="00321CD9">
        <w:rPr>
          <w:rFonts w:ascii="Arial" w:eastAsia="Times New Roman" w:hAnsi="Arial" w:cs="Arial"/>
          <w:sz w:val="22"/>
          <w:szCs w:val="22"/>
        </w:rPr>
        <w:t>Cipfa Prudential Code for Capital Finance in Local Authorities and Cipfa Treasury Management Code of Practice</w:t>
      </w:r>
      <w:r>
        <w:rPr>
          <w:rFonts w:ascii="Arial" w:eastAsia="Times New Roman" w:hAnsi="Arial" w:cs="Arial"/>
          <w:sz w:val="22"/>
          <w:szCs w:val="22"/>
        </w:rPr>
        <w:t>. These are important codes setting the framework for council’s capital financing and investments</w:t>
      </w:r>
      <w:r w:rsidR="00D45033" w:rsidRPr="00D45033">
        <w:rPr>
          <w:rFonts w:ascii="Arial" w:eastAsia="Times New Roman" w:hAnsi="Arial" w:cs="Arial"/>
          <w:sz w:val="22"/>
          <w:szCs w:val="22"/>
        </w:rPr>
        <w:t xml:space="preserve">. Overall, although the changes proposed </w:t>
      </w:r>
      <w:r w:rsidR="00D45033">
        <w:rPr>
          <w:rFonts w:ascii="Arial" w:eastAsia="Times New Roman" w:hAnsi="Arial" w:cs="Arial"/>
          <w:sz w:val="22"/>
          <w:szCs w:val="22"/>
        </w:rPr>
        <w:t xml:space="preserve">in the consultation </w:t>
      </w:r>
      <w:r w:rsidR="00D45033" w:rsidRPr="00D45033">
        <w:rPr>
          <w:rFonts w:ascii="Arial" w:eastAsia="Times New Roman" w:hAnsi="Arial" w:cs="Arial"/>
          <w:sz w:val="22"/>
          <w:szCs w:val="22"/>
        </w:rPr>
        <w:t xml:space="preserve">mean that both codes undergo an extensive re-write, we believe that the changes will only improve what is already a good governance framework and will strengthen good decision making by local authorities. We are therefore supportive of the </w:t>
      </w:r>
      <w:r w:rsidR="008F36D7">
        <w:rPr>
          <w:rFonts w:ascii="Arial" w:eastAsia="Times New Roman" w:hAnsi="Arial" w:cs="Arial"/>
          <w:sz w:val="22"/>
          <w:szCs w:val="22"/>
        </w:rPr>
        <w:t>updated codes.</w:t>
      </w:r>
    </w:p>
    <w:p w14:paraId="438C601D" w14:textId="77777777" w:rsidR="00370856" w:rsidRPr="00370856" w:rsidRDefault="00370856" w:rsidP="00370856">
      <w:pPr>
        <w:pStyle w:val="ListParagraph"/>
        <w:ind w:left="360"/>
        <w:jc w:val="both"/>
        <w:rPr>
          <w:rFonts w:ascii="Arial" w:eastAsia="Times New Roman" w:hAnsi="Arial" w:cs="Arial"/>
          <w:sz w:val="22"/>
          <w:szCs w:val="22"/>
        </w:rPr>
      </w:pPr>
    </w:p>
    <w:p w14:paraId="5B88AC8C" w14:textId="469CC7A4" w:rsidR="00F378A9" w:rsidRPr="00FD0F84" w:rsidRDefault="0025511B" w:rsidP="00F378A9">
      <w:pPr>
        <w:spacing w:after="0" w:line="240" w:lineRule="auto"/>
        <w:jc w:val="both"/>
        <w:rPr>
          <w:rFonts w:eastAsia="Times New Roman"/>
          <w:b/>
        </w:rPr>
      </w:pPr>
      <w:r w:rsidRPr="0025511B">
        <w:rPr>
          <w:rFonts w:eastAsia="Times New Roman"/>
          <w:b/>
        </w:rPr>
        <w:t>ONS consultation on Sub National Public Sector Finances</w:t>
      </w:r>
    </w:p>
    <w:p w14:paraId="25505678" w14:textId="77777777" w:rsidR="00F378A9" w:rsidRDefault="00F378A9" w:rsidP="00F378A9">
      <w:pPr>
        <w:spacing w:after="0" w:line="240" w:lineRule="auto"/>
        <w:jc w:val="both"/>
        <w:rPr>
          <w:rFonts w:eastAsia="Times New Roman"/>
        </w:rPr>
      </w:pPr>
    </w:p>
    <w:p w14:paraId="1D9EFD40" w14:textId="069135C7" w:rsidR="00F378A9" w:rsidRPr="00B649DE" w:rsidRDefault="0025511B" w:rsidP="0025511B">
      <w:pPr>
        <w:pStyle w:val="Default"/>
        <w:numPr>
          <w:ilvl w:val="0"/>
          <w:numId w:val="11"/>
        </w:numPr>
        <w:jc w:val="both"/>
        <w:rPr>
          <w:rFonts w:eastAsia="Times New Roman"/>
          <w:sz w:val="22"/>
          <w:szCs w:val="22"/>
        </w:rPr>
      </w:pPr>
      <w:r w:rsidRPr="0025511B">
        <w:rPr>
          <w:rFonts w:eastAsia="Times New Roman"/>
          <w:sz w:val="22"/>
          <w:szCs w:val="22"/>
        </w:rPr>
        <w:t xml:space="preserve">Resources Board lead members approved a response on behalf of the LGA </w:t>
      </w:r>
      <w:r>
        <w:rPr>
          <w:rFonts w:eastAsia="Times New Roman"/>
          <w:sz w:val="22"/>
          <w:szCs w:val="22"/>
        </w:rPr>
        <w:t xml:space="preserve">to a </w:t>
      </w:r>
      <w:r w:rsidRPr="0025511B">
        <w:rPr>
          <w:rFonts w:eastAsia="Times New Roman"/>
          <w:sz w:val="22"/>
          <w:szCs w:val="22"/>
        </w:rPr>
        <w:t xml:space="preserve">Government </w:t>
      </w:r>
      <w:r>
        <w:rPr>
          <w:rFonts w:eastAsia="Times New Roman"/>
          <w:sz w:val="22"/>
          <w:szCs w:val="22"/>
        </w:rPr>
        <w:t xml:space="preserve">consultation </w:t>
      </w:r>
      <w:r w:rsidRPr="0025511B">
        <w:rPr>
          <w:rFonts w:eastAsia="Times New Roman"/>
          <w:sz w:val="22"/>
          <w:szCs w:val="22"/>
        </w:rPr>
        <w:t>on a scoping study by the Office of National Statistics</w:t>
      </w:r>
      <w:r w:rsidR="008F36D7">
        <w:rPr>
          <w:rFonts w:eastAsia="Times New Roman"/>
          <w:sz w:val="22"/>
          <w:szCs w:val="22"/>
        </w:rPr>
        <w:t>.  This</w:t>
      </w:r>
      <w:r w:rsidRPr="0025511B">
        <w:rPr>
          <w:rFonts w:eastAsia="Times New Roman"/>
          <w:sz w:val="22"/>
          <w:szCs w:val="22"/>
        </w:rPr>
        <w:t xml:space="preserve"> explor</w:t>
      </w:r>
      <w:r w:rsidR="008F36D7">
        <w:rPr>
          <w:rFonts w:eastAsia="Times New Roman"/>
          <w:sz w:val="22"/>
          <w:szCs w:val="22"/>
        </w:rPr>
        <w:t>ed</w:t>
      </w:r>
      <w:r w:rsidRPr="0025511B">
        <w:rPr>
          <w:rFonts w:eastAsia="Times New Roman"/>
          <w:sz w:val="22"/>
          <w:szCs w:val="22"/>
        </w:rPr>
        <w:t xml:space="preserve"> data sources such as HMRC tax data and DWP benefit payments as well as local authority income and expenditure for </w:t>
      </w:r>
      <w:r>
        <w:rPr>
          <w:rFonts w:eastAsia="Times New Roman"/>
          <w:sz w:val="22"/>
          <w:szCs w:val="22"/>
        </w:rPr>
        <w:t xml:space="preserve">measuring </w:t>
      </w:r>
      <w:r w:rsidRPr="0025511B">
        <w:rPr>
          <w:rFonts w:eastAsia="Times New Roman"/>
          <w:sz w:val="22"/>
          <w:szCs w:val="22"/>
        </w:rPr>
        <w:t xml:space="preserve">public sector finances below country and regional level. </w:t>
      </w:r>
      <w:r>
        <w:rPr>
          <w:rFonts w:eastAsia="Times New Roman"/>
          <w:sz w:val="22"/>
          <w:szCs w:val="22"/>
        </w:rPr>
        <w:t xml:space="preserve">Our response </w:t>
      </w:r>
      <w:r w:rsidRPr="0025511B">
        <w:rPr>
          <w:rFonts w:eastAsia="Times New Roman"/>
          <w:sz w:val="22"/>
          <w:szCs w:val="22"/>
        </w:rPr>
        <w:t>emphasis</w:t>
      </w:r>
      <w:r>
        <w:rPr>
          <w:rFonts w:eastAsia="Times New Roman"/>
          <w:sz w:val="22"/>
          <w:szCs w:val="22"/>
        </w:rPr>
        <w:t>ed</w:t>
      </w:r>
      <w:r w:rsidRPr="0025511B">
        <w:rPr>
          <w:rFonts w:eastAsia="Times New Roman"/>
          <w:sz w:val="22"/>
          <w:szCs w:val="22"/>
        </w:rPr>
        <w:t xml:space="preserve"> that robust and comprehensive public sector financial statistics for all public sector </w:t>
      </w:r>
      <w:r w:rsidRPr="00B649DE">
        <w:rPr>
          <w:rFonts w:eastAsia="Times New Roman"/>
          <w:sz w:val="22"/>
          <w:szCs w:val="22"/>
        </w:rPr>
        <w:t>bodies at the local level, including below local authority level if possible, would lead to a better understanding of the totality of public expenditure.</w:t>
      </w:r>
    </w:p>
    <w:p w14:paraId="5C07F9F7" w14:textId="77777777" w:rsidR="00995FF2" w:rsidRDefault="00995FF2" w:rsidP="00F378A9">
      <w:pPr>
        <w:spacing w:after="0" w:line="240" w:lineRule="auto"/>
        <w:jc w:val="both"/>
        <w:rPr>
          <w:rFonts w:eastAsia="Times New Roman"/>
        </w:rPr>
      </w:pPr>
    </w:p>
    <w:p w14:paraId="4995B73F" w14:textId="167E1DEC" w:rsidR="00B649DE" w:rsidRPr="00B649DE" w:rsidRDefault="00B649DE" w:rsidP="00F378A9">
      <w:pPr>
        <w:spacing w:after="0" w:line="240" w:lineRule="auto"/>
        <w:jc w:val="both"/>
        <w:rPr>
          <w:rFonts w:eastAsia="Times New Roman"/>
          <w:b/>
        </w:rPr>
      </w:pPr>
      <w:r w:rsidRPr="00B649DE">
        <w:rPr>
          <w:rFonts w:eastAsia="Times New Roman"/>
          <w:b/>
        </w:rPr>
        <w:t>Disability Employment Gap</w:t>
      </w:r>
    </w:p>
    <w:p w14:paraId="0FA3B5B2" w14:textId="77777777" w:rsidR="00B649DE" w:rsidRPr="00B649DE" w:rsidRDefault="00B649DE" w:rsidP="00F378A9">
      <w:pPr>
        <w:spacing w:after="0" w:line="240" w:lineRule="auto"/>
        <w:jc w:val="both"/>
        <w:rPr>
          <w:rFonts w:eastAsia="Times New Roman"/>
        </w:rPr>
      </w:pPr>
    </w:p>
    <w:p w14:paraId="0AE7F767" w14:textId="055C5CD8" w:rsidR="00B649DE" w:rsidRPr="00B649DE" w:rsidRDefault="00B649DE" w:rsidP="00B649DE">
      <w:pPr>
        <w:pStyle w:val="ListParagraph"/>
        <w:numPr>
          <w:ilvl w:val="0"/>
          <w:numId w:val="11"/>
        </w:numPr>
        <w:spacing w:after="120"/>
        <w:rPr>
          <w:rFonts w:ascii="Arial" w:hAnsi="Arial" w:cs="Arial"/>
          <w:bCs/>
          <w:sz w:val="22"/>
          <w:szCs w:val="22"/>
        </w:rPr>
      </w:pPr>
      <w:r w:rsidRPr="00B649DE">
        <w:rPr>
          <w:rFonts w:ascii="Arial" w:hAnsi="Arial" w:cs="Arial"/>
          <w:bCs/>
          <w:iCs/>
          <w:color w:val="000000"/>
          <w:sz w:val="22"/>
          <w:szCs w:val="22"/>
          <w:lang w:val="en-US"/>
        </w:rPr>
        <w:t>The recent focus on the Disability employment gap by Ministers and the DWP means that councils need to focus more on supporting disabled people to move into or maintain work.  On 20 September the LGA and Timewise </w:t>
      </w:r>
      <w:r w:rsidRPr="00B649DE">
        <w:rPr>
          <w:rFonts w:ascii="Arial" w:hAnsi="Arial" w:cs="Arial"/>
          <w:bCs/>
          <w:iCs/>
          <w:color w:val="000000"/>
          <w:sz w:val="22"/>
          <w:szCs w:val="22"/>
        </w:rPr>
        <w:t>held a well-received event to highlight the latest thinking around creating work opportunities for people with disabilities from innovative employers and DWP, how to use job carving / job splitting effectively and what councils could do to be more Disability Confident and be part of an Action Learning Set. The event was attended by 55 councils.</w:t>
      </w:r>
    </w:p>
    <w:p w14:paraId="3F64FA64" w14:textId="77777777" w:rsidR="00F378A9" w:rsidRPr="00B649DE" w:rsidRDefault="00F378A9" w:rsidP="00715275">
      <w:pPr>
        <w:pStyle w:val="Default"/>
        <w:rPr>
          <w:color w:val="auto"/>
          <w:sz w:val="22"/>
          <w:szCs w:val="22"/>
        </w:rPr>
      </w:pPr>
    </w:p>
    <w:p w14:paraId="207B2AC7" w14:textId="77777777" w:rsidR="00F378A9" w:rsidRPr="00B649DE" w:rsidRDefault="00F378A9" w:rsidP="00F378A9">
      <w:pPr>
        <w:pStyle w:val="Default"/>
        <w:rPr>
          <w:color w:val="auto"/>
          <w:sz w:val="22"/>
          <w:szCs w:val="22"/>
        </w:rPr>
      </w:pPr>
    </w:p>
    <w:p w14:paraId="4B43EEA2" w14:textId="77777777" w:rsidR="00F378A9" w:rsidRDefault="00F378A9" w:rsidP="00715275">
      <w:pPr>
        <w:pStyle w:val="Default"/>
        <w:rPr>
          <w:color w:val="auto"/>
          <w:sz w:val="22"/>
          <w:szCs w:val="22"/>
        </w:rPr>
      </w:pPr>
    </w:p>
    <w:p w14:paraId="48EC74D7" w14:textId="77777777" w:rsidR="00F378A9" w:rsidRDefault="00F378A9" w:rsidP="00715275">
      <w:pPr>
        <w:pStyle w:val="Default"/>
        <w:rPr>
          <w:color w:val="auto"/>
          <w:sz w:val="22"/>
          <w:szCs w:val="22"/>
        </w:rPr>
      </w:pPr>
    </w:p>
    <w:p w14:paraId="4CD16611" w14:textId="77777777" w:rsidR="00F378A9" w:rsidRDefault="00F378A9" w:rsidP="00715275">
      <w:pPr>
        <w:pStyle w:val="Default"/>
        <w:rPr>
          <w:color w:val="auto"/>
          <w:sz w:val="22"/>
          <w:szCs w:val="22"/>
        </w:rPr>
      </w:pPr>
    </w:p>
    <w:tbl>
      <w:tblPr>
        <w:tblW w:w="9464" w:type="dxa"/>
        <w:tblLook w:val="01E0" w:firstRow="1" w:lastRow="1" w:firstColumn="1" w:lastColumn="1" w:noHBand="0" w:noVBand="0"/>
      </w:tblPr>
      <w:tblGrid>
        <w:gridCol w:w="2376"/>
        <w:gridCol w:w="7088"/>
      </w:tblGrid>
      <w:tr w:rsidR="003D3D3F" w:rsidRPr="009F7920" w14:paraId="04DD96AC" w14:textId="77777777" w:rsidTr="0018664A">
        <w:trPr>
          <w:trHeight w:val="207"/>
        </w:trPr>
        <w:tc>
          <w:tcPr>
            <w:tcW w:w="2376" w:type="dxa"/>
            <w:shd w:val="clear" w:color="auto" w:fill="auto"/>
          </w:tcPr>
          <w:p w14:paraId="15E997D9" w14:textId="7F704D37" w:rsidR="003D3D3F" w:rsidRPr="009F7920" w:rsidRDefault="003D3D3F" w:rsidP="00715275">
            <w:pPr>
              <w:spacing w:after="0" w:line="240" w:lineRule="auto"/>
              <w:rPr>
                <w:rFonts w:eastAsia="Times New Roman"/>
                <w:b/>
                <w:lang w:eastAsia="en-GB"/>
              </w:rPr>
            </w:pPr>
            <w:r w:rsidRPr="009F7920">
              <w:rPr>
                <w:rFonts w:eastAsia="Times New Roman"/>
                <w:b/>
                <w:lang w:eastAsia="en-GB"/>
              </w:rPr>
              <w:t>Contact Officer</w:t>
            </w:r>
            <w:r w:rsidR="00F378A9">
              <w:rPr>
                <w:rFonts w:eastAsia="Times New Roman"/>
                <w:b/>
                <w:lang w:eastAsia="en-GB"/>
              </w:rPr>
              <w:t>s</w:t>
            </w:r>
            <w:r w:rsidRPr="009F7920">
              <w:rPr>
                <w:rFonts w:eastAsia="Times New Roman"/>
                <w:b/>
                <w:lang w:eastAsia="en-GB"/>
              </w:rPr>
              <w:t>:</w:t>
            </w:r>
          </w:p>
        </w:tc>
        <w:tc>
          <w:tcPr>
            <w:tcW w:w="7088" w:type="dxa"/>
            <w:shd w:val="clear" w:color="auto" w:fill="auto"/>
          </w:tcPr>
          <w:p w14:paraId="3D73219F" w14:textId="792D0042" w:rsidR="003D3D3F" w:rsidRPr="009F7920" w:rsidRDefault="00F378A9" w:rsidP="00D96B5A">
            <w:pPr>
              <w:spacing w:after="0" w:line="240" w:lineRule="auto"/>
              <w:rPr>
                <w:rFonts w:eastAsia="Times New Roman"/>
                <w:lang w:eastAsia="en-GB"/>
              </w:rPr>
            </w:pPr>
            <w:r>
              <w:rPr>
                <w:rFonts w:eastAsia="Times New Roman"/>
                <w:lang w:eastAsia="en-GB"/>
              </w:rPr>
              <w:t xml:space="preserve">Nicola Morton </w:t>
            </w:r>
          </w:p>
        </w:tc>
      </w:tr>
      <w:tr w:rsidR="003D3D3F" w:rsidRPr="009F7920" w14:paraId="036C8AAD" w14:textId="77777777" w:rsidTr="0018664A">
        <w:tc>
          <w:tcPr>
            <w:tcW w:w="2376" w:type="dxa"/>
            <w:shd w:val="clear" w:color="auto" w:fill="auto"/>
          </w:tcPr>
          <w:p w14:paraId="43EA0A05" w14:textId="77777777" w:rsidR="003D3D3F" w:rsidRPr="009F7920" w:rsidRDefault="003D3D3F" w:rsidP="00715275">
            <w:pPr>
              <w:spacing w:after="0" w:line="240" w:lineRule="auto"/>
              <w:rPr>
                <w:rFonts w:eastAsia="Times New Roman"/>
                <w:b/>
                <w:lang w:eastAsia="en-GB"/>
              </w:rPr>
            </w:pPr>
            <w:r w:rsidRPr="009F7920">
              <w:rPr>
                <w:rFonts w:eastAsia="Times New Roman"/>
                <w:b/>
                <w:lang w:eastAsia="en-GB"/>
              </w:rPr>
              <w:t>Position:</w:t>
            </w:r>
          </w:p>
        </w:tc>
        <w:tc>
          <w:tcPr>
            <w:tcW w:w="7088" w:type="dxa"/>
            <w:shd w:val="clear" w:color="auto" w:fill="auto"/>
          </w:tcPr>
          <w:p w14:paraId="048F2AE0" w14:textId="1B789266" w:rsidR="003D3D3F" w:rsidRPr="009F7920" w:rsidRDefault="00F378A9" w:rsidP="00D96B5A">
            <w:pPr>
              <w:spacing w:after="0" w:line="240" w:lineRule="auto"/>
              <w:rPr>
                <w:rFonts w:eastAsia="Times New Roman"/>
                <w:lang w:eastAsia="en-GB"/>
              </w:rPr>
            </w:pPr>
            <w:r>
              <w:rPr>
                <w:rFonts w:eastAsia="Times New Roman"/>
                <w:lang w:eastAsia="en-GB"/>
              </w:rPr>
              <w:t>Head of Local Government Finance</w:t>
            </w:r>
          </w:p>
        </w:tc>
      </w:tr>
      <w:tr w:rsidR="003D3D3F" w:rsidRPr="009F7920" w14:paraId="36882833" w14:textId="77777777" w:rsidTr="0018664A">
        <w:tc>
          <w:tcPr>
            <w:tcW w:w="2376" w:type="dxa"/>
            <w:shd w:val="clear" w:color="auto" w:fill="auto"/>
          </w:tcPr>
          <w:p w14:paraId="7610C445" w14:textId="77777777" w:rsidR="003D3D3F" w:rsidRPr="009F7920" w:rsidRDefault="003D3D3F" w:rsidP="00715275">
            <w:pPr>
              <w:spacing w:after="0" w:line="240" w:lineRule="auto"/>
              <w:rPr>
                <w:rFonts w:eastAsia="Times New Roman"/>
                <w:b/>
                <w:lang w:eastAsia="en-GB"/>
              </w:rPr>
            </w:pPr>
            <w:r w:rsidRPr="009F7920">
              <w:rPr>
                <w:rFonts w:eastAsia="Times New Roman"/>
                <w:b/>
                <w:lang w:eastAsia="en-GB"/>
              </w:rPr>
              <w:t>Phone no:</w:t>
            </w:r>
          </w:p>
        </w:tc>
        <w:tc>
          <w:tcPr>
            <w:tcW w:w="7088" w:type="dxa"/>
            <w:shd w:val="clear" w:color="auto" w:fill="auto"/>
          </w:tcPr>
          <w:p w14:paraId="7C467875" w14:textId="7B950AA6" w:rsidR="003D3D3F" w:rsidRPr="009F7920" w:rsidRDefault="00F378A9" w:rsidP="00D96B5A">
            <w:pPr>
              <w:spacing w:after="0" w:line="240" w:lineRule="auto"/>
              <w:rPr>
                <w:rFonts w:eastAsia="Times New Roman"/>
                <w:lang w:eastAsia="en-GB"/>
              </w:rPr>
            </w:pPr>
            <w:r>
              <w:rPr>
                <w:rFonts w:eastAsia="Times New Roman"/>
                <w:lang w:eastAsia="en-GB"/>
              </w:rPr>
              <w:t xml:space="preserve">020 </w:t>
            </w:r>
            <w:r w:rsidR="00D96B5A">
              <w:rPr>
                <w:rFonts w:eastAsia="Times New Roman"/>
                <w:lang w:eastAsia="en-GB"/>
              </w:rPr>
              <w:t>7</w:t>
            </w:r>
            <w:r>
              <w:rPr>
                <w:rFonts w:eastAsia="Times New Roman"/>
                <w:lang w:eastAsia="en-GB"/>
              </w:rPr>
              <w:t>664 3197</w:t>
            </w:r>
          </w:p>
        </w:tc>
      </w:tr>
      <w:tr w:rsidR="003D3D3F" w:rsidRPr="009F7920" w14:paraId="69A8054D" w14:textId="77777777" w:rsidTr="00F378A9">
        <w:trPr>
          <w:trHeight w:val="513"/>
        </w:trPr>
        <w:tc>
          <w:tcPr>
            <w:tcW w:w="2376" w:type="dxa"/>
            <w:shd w:val="clear" w:color="auto" w:fill="auto"/>
          </w:tcPr>
          <w:p w14:paraId="207B0492" w14:textId="77777777" w:rsidR="003D3D3F" w:rsidRPr="009F7920" w:rsidRDefault="003D3D3F" w:rsidP="00715275">
            <w:pPr>
              <w:spacing w:after="0" w:line="240" w:lineRule="auto"/>
              <w:rPr>
                <w:rFonts w:eastAsia="Times New Roman"/>
                <w:b/>
                <w:lang w:eastAsia="en-GB"/>
              </w:rPr>
            </w:pPr>
            <w:r w:rsidRPr="009F7920">
              <w:rPr>
                <w:rFonts w:eastAsia="Times New Roman"/>
                <w:b/>
                <w:lang w:eastAsia="en-GB"/>
              </w:rPr>
              <w:t>E-mail:</w:t>
            </w:r>
          </w:p>
        </w:tc>
        <w:tc>
          <w:tcPr>
            <w:tcW w:w="7088" w:type="dxa"/>
            <w:shd w:val="clear" w:color="auto" w:fill="auto"/>
          </w:tcPr>
          <w:p w14:paraId="2A6B18ED" w14:textId="2B168EFF" w:rsidR="003D3D3F" w:rsidRPr="009F7920" w:rsidRDefault="00B91953" w:rsidP="00D96B5A">
            <w:pPr>
              <w:spacing w:after="0" w:line="240" w:lineRule="auto"/>
              <w:rPr>
                <w:rFonts w:eastAsia="Times New Roman"/>
                <w:lang w:eastAsia="en-GB"/>
              </w:rPr>
            </w:pPr>
            <w:hyperlink r:id="rId12" w:history="1">
              <w:r w:rsidR="003D3D3F" w:rsidRPr="009F7920">
                <w:rPr>
                  <w:rFonts w:eastAsia="Times New Roman"/>
                  <w:color w:val="1181C1"/>
                  <w:u w:val="single"/>
                  <w:lang w:eastAsia="en-GB"/>
                </w:rPr>
                <w:t>Nicola.Morton@local.gov.uk</w:t>
              </w:r>
            </w:hyperlink>
            <w:r w:rsidR="003D3D3F" w:rsidRPr="009F7920">
              <w:rPr>
                <w:rFonts w:eastAsia="Times New Roman"/>
                <w:lang w:eastAsia="en-GB"/>
              </w:rPr>
              <w:t xml:space="preserve"> </w:t>
            </w:r>
          </w:p>
        </w:tc>
      </w:tr>
    </w:tbl>
    <w:p w14:paraId="02361DC9" w14:textId="77777777" w:rsidR="00FB59A6" w:rsidRPr="009F7920" w:rsidRDefault="00FB59A6" w:rsidP="00915E4E">
      <w:pPr>
        <w:spacing w:after="0" w:line="240" w:lineRule="auto"/>
      </w:pPr>
    </w:p>
    <w:sectPr w:rsidR="00FB59A6" w:rsidRPr="009F7920" w:rsidSect="00112180">
      <w:head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18805" w14:textId="77777777" w:rsidR="00321CD9" w:rsidRDefault="00321CD9" w:rsidP="00C97AFA">
      <w:pPr>
        <w:spacing w:after="0" w:line="240" w:lineRule="auto"/>
      </w:pPr>
      <w:r>
        <w:separator/>
      </w:r>
    </w:p>
  </w:endnote>
  <w:endnote w:type="continuationSeparator" w:id="0">
    <w:p w14:paraId="36FB2CEC" w14:textId="77777777" w:rsidR="00321CD9" w:rsidRDefault="00321CD9" w:rsidP="00C9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 55 Roman">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F88A1" w14:textId="77777777" w:rsidR="00321CD9" w:rsidRDefault="00321CD9" w:rsidP="00C97AFA">
      <w:pPr>
        <w:spacing w:after="0" w:line="240" w:lineRule="auto"/>
      </w:pPr>
      <w:r>
        <w:separator/>
      </w:r>
    </w:p>
  </w:footnote>
  <w:footnote w:type="continuationSeparator" w:id="0">
    <w:p w14:paraId="2873561B" w14:textId="77777777" w:rsidR="00321CD9" w:rsidRDefault="00321CD9" w:rsidP="00C97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409"/>
      <w:gridCol w:w="4229"/>
    </w:tblGrid>
    <w:tr w:rsidR="00321CD9" w:rsidRPr="00284AE7" w14:paraId="29BB6F7B" w14:textId="77777777" w:rsidTr="008F51CF">
      <w:tc>
        <w:tcPr>
          <w:tcW w:w="5529" w:type="dxa"/>
          <w:vMerge w:val="restart"/>
        </w:tcPr>
        <w:p w14:paraId="4FBCB3AB" w14:textId="7E696890" w:rsidR="00321CD9" w:rsidRPr="00284AE7" w:rsidRDefault="00321CD9" w:rsidP="00284AE7">
          <w:pPr>
            <w:tabs>
              <w:tab w:val="center" w:pos="4153"/>
              <w:tab w:val="right" w:pos="8306"/>
            </w:tabs>
            <w:spacing w:after="0" w:line="240" w:lineRule="auto"/>
            <w:rPr>
              <w:rFonts w:eastAsia="Times New Roman"/>
              <w:b/>
              <w:lang w:eastAsia="en-GB"/>
            </w:rPr>
          </w:pPr>
          <w:r w:rsidRPr="00284AE7">
            <w:rPr>
              <w:rFonts w:eastAsia="Times New Roman"/>
              <w:b/>
              <w:noProof/>
              <w:lang w:eastAsia="en-GB"/>
            </w:rPr>
            <w:drawing>
              <wp:inline distT="0" distB="0" distL="0" distR="0" wp14:anchorId="28513DCD" wp14:editId="745F421E">
                <wp:extent cx="1143000" cy="6858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p w14:paraId="15458AEE" w14:textId="77777777" w:rsidR="00321CD9" w:rsidRPr="00284AE7" w:rsidRDefault="00321CD9" w:rsidP="00284AE7">
          <w:pPr>
            <w:tabs>
              <w:tab w:val="center" w:pos="4153"/>
              <w:tab w:val="right" w:pos="8306"/>
            </w:tabs>
            <w:spacing w:after="0" w:line="240" w:lineRule="auto"/>
            <w:rPr>
              <w:rFonts w:eastAsia="Times New Roman"/>
              <w:b/>
              <w:lang w:eastAsia="en-GB"/>
            </w:rPr>
          </w:pPr>
        </w:p>
      </w:tc>
      <w:tc>
        <w:tcPr>
          <w:tcW w:w="4326" w:type="dxa"/>
        </w:tcPr>
        <w:p w14:paraId="6A03D8D0" w14:textId="77777777" w:rsidR="00321CD9" w:rsidRDefault="00321CD9" w:rsidP="00284AE7">
          <w:pPr>
            <w:tabs>
              <w:tab w:val="center" w:pos="4153"/>
              <w:tab w:val="right" w:pos="8306"/>
            </w:tabs>
            <w:spacing w:after="0" w:line="240" w:lineRule="auto"/>
            <w:rPr>
              <w:rFonts w:eastAsia="Times New Roman"/>
              <w:b/>
              <w:lang w:eastAsia="en-GB"/>
            </w:rPr>
          </w:pPr>
          <w:r>
            <w:rPr>
              <w:rFonts w:eastAsia="Times New Roman"/>
              <w:b/>
              <w:lang w:eastAsia="en-GB"/>
            </w:rPr>
            <w:t xml:space="preserve">                      </w:t>
          </w:r>
        </w:p>
        <w:p w14:paraId="27EF7DD7" w14:textId="14834D19" w:rsidR="00321CD9" w:rsidRPr="00284AE7" w:rsidRDefault="00321CD9" w:rsidP="00284AE7">
          <w:pPr>
            <w:tabs>
              <w:tab w:val="center" w:pos="4153"/>
              <w:tab w:val="right" w:pos="8306"/>
            </w:tabs>
            <w:spacing w:after="0" w:line="240" w:lineRule="auto"/>
            <w:rPr>
              <w:rFonts w:ascii="Frutiger 45 Light" w:eastAsia="Times New Roman" w:hAnsi="Frutiger 45 Light" w:cs="Times New Roman"/>
              <w:b/>
              <w:lang w:eastAsia="en-GB"/>
            </w:rPr>
          </w:pPr>
          <w:r>
            <w:rPr>
              <w:rFonts w:eastAsia="Times New Roman"/>
              <w:b/>
              <w:lang w:eastAsia="en-GB"/>
            </w:rPr>
            <w:t xml:space="preserve">                      </w:t>
          </w:r>
          <w:r w:rsidRPr="00284AE7">
            <w:rPr>
              <w:rFonts w:eastAsia="Times New Roman"/>
              <w:b/>
              <w:lang w:eastAsia="en-GB"/>
            </w:rPr>
            <w:t xml:space="preserve">Councillors’ Forum </w:t>
          </w:r>
        </w:p>
      </w:tc>
    </w:tr>
    <w:tr w:rsidR="00321CD9" w:rsidRPr="00284AE7" w14:paraId="53BDC34D" w14:textId="77777777" w:rsidTr="008F51CF">
      <w:trPr>
        <w:trHeight w:val="80"/>
      </w:trPr>
      <w:tc>
        <w:tcPr>
          <w:tcW w:w="5529" w:type="dxa"/>
          <w:vMerge/>
        </w:tcPr>
        <w:p w14:paraId="16B09B60" w14:textId="77777777" w:rsidR="00321CD9" w:rsidRPr="00284AE7" w:rsidRDefault="00321CD9" w:rsidP="00284AE7">
          <w:pPr>
            <w:tabs>
              <w:tab w:val="center" w:pos="4153"/>
              <w:tab w:val="right" w:pos="8306"/>
            </w:tabs>
            <w:spacing w:after="0" w:line="240" w:lineRule="auto"/>
            <w:rPr>
              <w:rFonts w:ascii="Frutiger 45 Light" w:eastAsia="Times New Roman" w:hAnsi="Frutiger 45 Light" w:cs="Times New Roman"/>
              <w:lang w:eastAsia="en-GB"/>
            </w:rPr>
          </w:pPr>
        </w:p>
      </w:tc>
      <w:tc>
        <w:tcPr>
          <w:tcW w:w="4326" w:type="dxa"/>
        </w:tcPr>
        <w:p w14:paraId="277D9612" w14:textId="77777777" w:rsidR="00C30A90" w:rsidRDefault="00321CD9" w:rsidP="00D45DEA">
          <w:pPr>
            <w:tabs>
              <w:tab w:val="center" w:pos="4153"/>
              <w:tab w:val="right" w:pos="8306"/>
            </w:tabs>
            <w:spacing w:before="60" w:after="0" w:line="240" w:lineRule="auto"/>
            <w:rPr>
              <w:rFonts w:eastAsia="Times New Roman"/>
              <w:lang w:eastAsia="en-GB"/>
            </w:rPr>
          </w:pPr>
          <w:r>
            <w:rPr>
              <w:rFonts w:eastAsia="Times New Roman"/>
              <w:lang w:eastAsia="en-GB"/>
            </w:rPr>
            <w:t xml:space="preserve">                      </w:t>
          </w:r>
        </w:p>
        <w:p w14:paraId="1045759D" w14:textId="5C72BB81" w:rsidR="00321CD9" w:rsidRPr="00284AE7" w:rsidRDefault="00C30A90" w:rsidP="00D45DEA">
          <w:pPr>
            <w:tabs>
              <w:tab w:val="center" w:pos="4153"/>
              <w:tab w:val="right" w:pos="8306"/>
            </w:tabs>
            <w:spacing w:before="60" w:after="0" w:line="240" w:lineRule="auto"/>
            <w:rPr>
              <w:rFonts w:ascii="Frutiger 45 Light" w:eastAsia="Times New Roman" w:hAnsi="Frutiger 45 Light" w:cs="Times New Roman"/>
              <w:lang w:eastAsia="en-GB"/>
            </w:rPr>
          </w:pPr>
          <w:r>
            <w:rPr>
              <w:rFonts w:eastAsia="Times New Roman"/>
              <w:lang w:eastAsia="en-GB"/>
            </w:rPr>
            <w:t xml:space="preserve">                      </w:t>
          </w:r>
          <w:r w:rsidR="00321CD9">
            <w:rPr>
              <w:rFonts w:eastAsia="Times New Roman"/>
              <w:lang w:eastAsia="en-GB"/>
            </w:rPr>
            <w:t>19 October 2017</w:t>
          </w:r>
        </w:p>
      </w:tc>
    </w:tr>
    <w:tr w:rsidR="00321CD9" w:rsidRPr="00284AE7" w14:paraId="3B59D23F" w14:textId="77777777" w:rsidTr="008F51CF">
      <w:trPr>
        <w:trHeight w:val="372"/>
      </w:trPr>
      <w:tc>
        <w:tcPr>
          <w:tcW w:w="5529" w:type="dxa"/>
          <w:vMerge/>
        </w:tcPr>
        <w:p w14:paraId="31FA54D0" w14:textId="77777777" w:rsidR="00321CD9" w:rsidRPr="00284AE7" w:rsidRDefault="00321CD9" w:rsidP="00284AE7">
          <w:pPr>
            <w:tabs>
              <w:tab w:val="center" w:pos="4153"/>
              <w:tab w:val="right" w:pos="8306"/>
            </w:tabs>
            <w:spacing w:after="0" w:line="240" w:lineRule="auto"/>
            <w:rPr>
              <w:rFonts w:ascii="Frutiger 45 Light" w:eastAsia="Times New Roman" w:hAnsi="Frutiger 45 Light" w:cs="Times New Roman"/>
              <w:lang w:eastAsia="en-GB"/>
            </w:rPr>
          </w:pPr>
        </w:p>
      </w:tc>
      <w:tc>
        <w:tcPr>
          <w:tcW w:w="4326" w:type="dxa"/>
          <w:vAlign w:val="bottom"/>
        </w:tcPr>
        <w:p w14:paraId="6B94825B" w14:textId="77777777" w:rsidR="00321CD9" w:rsidRPr="00284AE7" w:rsidRDefault="00321CD9" w:rsidP="00284AE7">
          <w:pPr>
            <w:tabs>
              <w:tab w:val="center" w:pos="4153"/>
              <w:tab w:val="right" w:pos="8306"/>
            </w:tabs>
            <w:spacing w:before="60" w:after="0" w:line="240" w:lineRule="auto"/>
            <w:rPr>
              <w:rFonts w:eastAsia="Times New Roman"/>
              <w:b/>
              <w:lang w:eastAsia="en-GB"/>
            </w:rPr>
          </w:pPr>
          <w:r w:rsidRPr="00284AE7">
            <w:rPr>
              <w:rFonts w:eastAsia="Times New Roman"/>
              <w:b/>
              <w:lang w:eastAsia="en-GB"/>
            </w:rPr>
            <w:t xml:space="preserve"> </w:t>
          </w:r>
        </w:p>
      </w:tc>
    </w:tr>
  </w:tbl>
  <w:p w14:paraId="29EED47B" w14:textId="77777777" w:rsidR="00321CD9" w:rsidRDefault="00321CD9" w:rsidP="009F7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5CE"/>
    <w:multiLevelType w:val="hybridMultilevel"/>
    <w:tmpl w:val="B5C034F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1741A"/>
    <w:multiLevelType w:val="hybridMultilevel"/>
    <w:tmpl w:val="1452FE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82CF6"/>
    <w:multiLevelType w:val="hybridMultilevel"/>
    <w:tmpl w:val="46327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08428A"/>
    <w:multiLevelType w:val="hybridMultilevel"/>
    <w:tmpl w:val="F73072AC"/>
    <w:lvl w:ilvl="0" w:tplc="B1CEC2BA">
      <w:start w:val="1"/>
      <w:numFmt w:val="decimal"/>
      <w:lvlText w:val="%1."/>
      <w:lvlJc w:val="left"/>
      <w:pPr>
        <w:ind w:left="360" w:hanging="360"/>
      </w:pPr>
      <w:rPr>
        <w:rFonts w:hint="default"/>
        <w:sz w:val="22"/>
        <w:szCs w:val="22"/>
      </w:rPr>
    </w:lvl>
    <w:lvl w:ilvl="1" w:tplc="08090019">
      <w:start w:val="1"/>
      <w:numFmt w:val="lowerLetter"/>
      <w:lvlText w:val="%2."/>
      <w:lvlJc w:val="left"/>
      <w:pPr>
        <w:ind w:left="938" w:hanging="360"/>
      </w:pPr>
    </w:lvl>
    <w:lvl w:ilvl="2" w:tplc="0809001B">
      <w:start w:val="1"/>
      <w:numFmt w:val="lowerRoman"/>
      <w:lvlText w:val="%3."/>
      <w:lvlJc w:val="right"/>
      <w:pPr>
        <w:ind w:left="1658" w:hanging="180"/>
      </w:pPr>
    </w:lvl>
    <w:lvl w:ilvl="3" w:tplc="0809000F">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0DDC62F8"/>
    <w:multiLevelType w:val="hybridMultilevel"/>
    <w:tmpl w:val="097A0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E60D11"/>
    <w:multiLevelType w:val="multilevel"/>
    <w:tmpl w:val="12BAB24E"/>
    <w:lvl w:ilvl="0">
      <w:start w:val="1"/>
      <w:numFmt w:val="decimal"/>
      <w:lvlText w:val="%1."/>
      <w:lvlJc w:val="left"/>
      <w:pPr>
        <w:ind w:left="360" w:hanging="360"/>
      </w:pPr>
    </w:lvl>
    <w:lvl w:ilvl="1">
      <w:start w:val="1"/>
      <w:numFmt w:val="decimal"/>
      <w:lvlText w:val="%1.%2."/>
      <w:lvlJc w:val="left"/>
      <w:pPr>
        <w:ind w:left="720" w:hanging="720"/>
      </w:pPr>
      <w:rPr>
        <w:rFonts w:ascii="Arial" w:hAnsi="Arial" w:cs="Arial" w:hint="default"/>
        <w:b w:val="0"/>
        <w:color w:val="auto"/>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 w15:restartNumberingAfterBreak="0">
    <w:nsid w:val="21003FE8"/>
    <w:multiLevelType w:val="multilevel"/>
    <w:tmpl w:val="B470A4DA"/>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1256"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DA499E"/>
    <w:multiLevelType w:val="hybridMultilevel"/>
    <w:tmpl w:val="E8768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89662F"/>
    <w:multiLevelType w:val="multilevel"/>
    <w:tmpl w:val="C6BEE5C0"/>
    <w:lvl w:ilvl="0">
      <w:start w:val="2"/>
      <w:numFmt w:val="decimal"/>
      <w:lvlText w:val="%1"/>
      <w:lvlJc w:val="left"/>
      <w:pPr>
        <w:ind w:left="360" w:hanging="360"/>
      </w:pPr>
    </w:lvl>
    <w:lvl w:ilvl="1">
      <w:start w:val="1"/>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452" w:hanging="1440"/>
      </w:pPr>
    </w:lvl>
    <w:lvl w:ilvl="7">
      <w:start w:val="1"/>
      <w:numFmt w:val="decimal"/>
      <w:lvlText w:val="%1.%2.%3.%4.%5.%6.%7.%8"/>
      <w:lvlJc w:val="left"/>
      <w:pPr>
        <w:ind w:left="5314" w:hanging="1800"/>
      </w:pPr>
    </w:lvl>
    <w:lvl w:ilvl="8">
      <w:start w:val="1"/>
      <w:numFmt w:val="decimal"/>
      <w:lvlText w:val="%1.%2.%3.%4.%5.%6.%7.%8.%9"/>
      <w:lvlJc w:val="left"/>
      <w:pPr>
        <w:ind w:left="5816" w:hanging="1800"/>
      </w:pPr>
    </w:lvl>
  </w:abstractNum>
  <w:abstractNum w:abstractNumId="9" w15:restartNumberingAfterBreak="0">
    <w:nsid w:val="2F7C65BC"/>
    <w:multiLevelType w:val="multilevel"/>
    <w:tmpl w:val="FDA42E42"/>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790C7F"/>
    <w:multiLevelType w:val="hybridMultilevel"/>
    <w:tmpl w:val="272C2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A92268"/>
    <w:multiLevelType w:val="hybridMultilevel"/>
    <w:tmpl w:val="6D362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BD4DE5"/>
    <w:multiLevelType w:val="hybridMultilevel"/>
    <w:tmpl w:val="FADA0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6B7D07"/>
    <w:multiLevelType w:val="multilevel"/>
    <w:tmpl w:val="0D74621C"/>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5D1626"/>
    <w:multiLevelType w:val="hybridMultilevel"/>
    <w:tmpl w:val="71C4E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925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3CB79D0"/>
    <w:multiLevelType w:val="hybridMultilevel"/>
    <w:tmpl w:val="D5F6DB6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7" w15:restartNumberingAfterBreak="0">
    <w:nsid w:val="78B21B26"/>
    <w:multiLevelType w:val="hybridMultilevel"/>
    <w:tmpl w:val="E0B65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0"/>
  </w:num>
  <w:num w:numId="4">
    <w:abstractNumId w:val="13"/>
  </w:num>
  <w:num w:numId="5">
    <w:abstractNumId w:val="12"/>
  </w:num>
  <w:num w:numId="6">
    <w:abstractNumId w:val="6"/>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9"/>
  </w:num>
  <w:num w:numId="12">
    <w:abstractNumId w:val="15"/>
  </w:num>
  <w:num w:numId="13">
    <w:abstractNumId w:val="3"/>
  </w:num>
  <w:num w:numId="14">
    <w:abstractNumId w:val="17"/>
  </w:num>
  <w:num w:numId="15">
    <w:abstractNumId w:val="7"/>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0D"/>
    <w:rsid w:val="00001E8C"/>
    <w:rsid w:val="00003574"/>
    <w:rsid w:val="00006616"/>
    <w:rsid w:val="00007132"/>
    <w:rsid w:val="000105D0"/>
    <w:rsid w:val="0001675F"/>
    <w:rsid w:val="00032B75"/>
    <w:rsid w:val="00035136"/>
    <w:rsid w:val="00046D02"/>
    <w:rsid w:val="0004775F"/>
    <w:rsid w:val="00047DFB"/>
    <w:rsid w:val="0005353C"/>
    <w:rsid w:val="00055310"/>
    <w:rsid w:val="00064FD7"/>
    <w:rsid w:val="000713E0"/>
    <w:rsid w:val="00076F61"/>
    <w:rsid w:val="00080937"/>
    <w:rsid w:val="00081DE3"/>
    <w:rsid w:val="00083E0A"/>
    <w:rsid w:val="000936F1"/>
    <w:rsid w:val="00095A0A"/>
    <w:rsid w:val="000A160D"/>
    <w:rsid w:val="000A6BB9"/>
    <w:rsid w:val="000A6F1E"/>
    <w:rsid w:val="000B6B4C"/>
    <w:rsid w:val="000C0E2F"/>
    <w:rsid w:val="000C596B"/>
    <w:rsid w:val="000D2F41"/>
    <w:rsid w:val="000D4490"/>
    <w:rsid w:val="000D4E05"/>
    <w:rsid w:val="000F3B42"/>
    <w:rsid w:val="000F65A2"/>
    <w:rsid w:val="00101ECC"/>
    <w:rsid w:val="001029A6"/>
    <w:rsid w:val="00112180"/>
    <w:rsid w:val="00114BD6"/>
    <w:rsid w:val="0011758D"/>
    <w:rsid w:val="00124C34"/>
    <w:rsid w:val="0012567B"/>
    <w:rsid w:val="0014205A"/>
    <w:rsid w:val="0015071D"/>
    <w:rsid w:val="00150B84"/>
    <w:rsid w:val="00151F6D"/>
    <w:rsid w:val="001643F7"/>
    <w:rsid w:val="00165D96"/>
    <w:rsid w:val="00166923"/>
    <w:rsid w:val="00166FB1"/>
    <w:rsid w:val="00176D2F"/>
    <w:rsid w:val="0018664A"/>
    <w:rsid w:val="00190B68"/>
    <w:rsid w:val="00190F60"/>
    <w:rsid w:val="0019299F"/>
    <w:rsid w:val="00193CA7"/>
    <w:rsid w:val="00195F16"/>
    <w:rsid w:val="001A0848"/>
    <w:rsid w:val="001A1AF4"/>
    <w:rsid w:val="001B2017"/>
    <w:rsid w:val="001B53F1"/>
    <w:rsid w:val="001B5FC2"/>
    <w:rsid w:val="001B64E4"/>
    <w:rsid w:val="001B7200"/>
    <w:rsid w:val="001B76BD"/>
    <w:rsid w:val="001B7B6D"/>
    <w:rsid w:val="001C3209"/>
    <w:rsid w:val="001C6782"/>
    <w:rsid w:val="001D46B8"/>
    <w:rsid w:val="001D6915"/>
    <w:rsid w:val="001D6CE0"/>
    <w:rsid w:val="001E38C5"/>
    <w:rsid w:val="001E7204"/>
    <w:rsid w:val="001F4783"/>
    <w:rsid w:val="001F5EEE"/>
    <w:rsid w:val="0020427C"/>
    <w:rsid w:val="002109C0"/>
    <w:rsid w:val="00216847"/>
    <w:rsid w:val="00221C63"/>
    <w:rsid w:val="002222B5"/>
    <w:rsid w:val="0023518E"/>
    <w:rsid w:val="00236BCD"/>
    <w:rsid w:val="00240078"/>
    <w:rsid w:val="00250DDA"/>
    <w:rsid w:val="0025511B"/>
    <w:rsid w:val="0025737B"/>
    <w:rsid w:val="00264B24"/>
    <w:rsid w:val="002671A2"/>
    <w:rsid w:val="00267F57"/>
    <w:rsid w:val="00272A2B"/>
    <w:rsid w:val="00276543"/>
    <w:rsid w:val="002814E1"/>
    <w:rsid w:val="00284AE7"/>
    <w:rsid w:val="002922DA"/>
    <w:rsid w:val="00293670"/>
    <w:rsid w:val="0029698E"/>
    <w:rsid w:val="002A0AAB"/>
    <w:rsid w:val="002A2ED6"/>
    <w:rsid w:val="002A3179"/>
    <w:rsid w:val="002A558B"/>
    <w:rsid w:val="002A6726"/>
    <w:rsid w:val="002B4474"/>
    <w:rsid w:val="002C0B2A"/>
    <w:rsid w:val="002C14A9"/>
    <w:rsid w:val="002C3648"/>
    <w:rsid w:val="002C4CA2"/>
    <w:rsid w:val="002C65BE"/>
    <w:rsid w:val="002D7A12"/>
    <w:rsid w:val="002E7409"/>
    <w:rsid w:val="002F11DF"/>
    <w:rsid w:val="003048E3"/>
    <w:rsid w:val="00313166"/>
    <w:rsid w:val="00314782"/>
    <w:rsid w:val="00316993"/>
    <w:rsid w:val="00321CD9"/>
    <w:rsid w:val="0032440C"/>
    <w:rsid w:val="003353F1"/>
    <w:rsid w:val="0033608B"/>
    <w:rsid w:val="00340FDD"/>
    <w:rsid w:val="00342213"/>
    <w:rsid w:val="00342C26"/>
    <w:rsid w:val="00346B4E"/>
    <w:rsid w:val="003501FC"/>
    <w:rsid w:val="00351355"/>
    <w:rsid w:val="00351506"/>
    <w:rsid w:val="003561CE"/>
    <w:rsid w:val="003566D6"/>
    <w:rsid w:val="00357E07"/>
    <w:rsid w:val="00362D15"/>
    <w:rsid w:val="00370856"/>
    <w:rsid w:val="00381394"/>
    <w:rsid w:val="0038771F"/>
    <w:rsid w:val="00391F80"/>
    <w:rsid w:val="00393D81"/>
    <w:rsid w:val="0039715B"/>
    <w:rsid w:val="003A2E16"/>
    <w:rsid w:val="003A3AE9"/>
    <w:rsid w:val="003B5F0F"/>
    <w:rsid w:val="003B772B"/>
    <w:rsid w:val="003C1165"/>
    <w:rsid w:val="003C55BA"/>
    <w:rsid w:val="003C6B07"/>
    <w:rsid w:val="003C72F8"/>
    <w:rsid w:val="003D3D3F"/>
    <w:rsid w:val="003E1E6F"/>
    <w:rsid w:val="003E325C"/>
    <w:rsid w:val="003E381E"/>
    <w:rsid w:val="004028CD"/>
    <w:rsid w:val="00405AA9"/>
    <w:rsid w:val="0040668F"/>
    <w:rsid w:val="00406E85"/>
    <w:rsid w:val="004112E2"/>
    <w:rsid w:val="00414EC2"/>
    <w:rsid w:val="0042019B"/>
    <w:rsid w:val="004208B1"/>
    <w:rsid w:val="004424C7"/>
    <w:rsid w:val="00450FF5"/>
    <w:rsid w:val="00460C9C"/>
    <w:rsid w:val="00466AFF"/>
    <w:rsid w:val="004673AE"/>
    <w:rsid w:val="00473816"/>
    <w:rsid w:val="00473BED"/>
    <w:rsid w:val="004756A7"/>
    <w:rsid w:val="00480880"/>
    <w:rsid w:val="00482499"/>
    <w:rsid w:val="004826B9"/>
    <w:rsid w:val="00483A51"/>
    <w:rsid w:val="00490D8E"/>
    <w:rsid w:val="00491665"/>
    <w:rsid w:val="00493FA5"/>
    <w:rsid w:val="00497483"/>
    <w:rsid w:val="004A244C"/>
    <w:rsid w:val="004A42B8"/>
    <w:rsid w:val="004A5A49"/>
    <w:rsid w:val="004A6ED8"/>
    <w:rsid w:val="004C0406"/>
    <w:rsid w:val="004C1DD8"/>
    <w:rsid w:val="004C2578"/>
    <w:rsid w:val="004C34A0"/>
    <w:rsid w:val="004C7212"/>
    <w:rsid w:val="004E1A55"/>
    <w:rsid w:val="004E60C1"/>
    <w:rsid w:val="004F14FF"/>
    <w:rsid w:val="004F3379"/>
    <w:rsid w:val="005010C8"/>
    <w:rsid w:val="005015A6"/>
    <w:rsid w:val="00507E7C"/>
    <w:rsid w:val="00507F7E"/>
    <w:rsid w:val="00511019"/>
    <w:rsid w:val="005114A4"/>
    <w:rsid w:val="00533215"/>
    <w:rsid w:val="00535DC4"/>
    <w:rsid w:val="0054150B"/>
    <w:rsid w:val="0054579E"/>
    <w:rsid w:val="005462E7"/>
    <w:rsid w:val="00546E23"/>
    <w:rsid w:val="005504CA"/>
    <w:rsid w:val="005524E8"/>
    <w:rsid w:val="00554E17"/>
    <w:rsid w:val="005625FC"/>
    <w:rsid w:val="00563C23"/>
    <w:rsid w:val="00572EA5"/>
    <w:rsid w:val="00573194"/>
    <w:rsid w:val="00575262"/>
    <w:rsid w:val="00577450"/>
    <w:rsid w:val="005831B6"/>
    <w:rsid w:val="005840D2"/>
    <w:rsid w:val="00586A2F"/>
    <w:rsid w:val="00586B70"/>
    <w:rsid w:val="0059353E"/>
    <w:rsid w:val="005A3AF8"/>
    <w:rsid w:val="005A4BC0"/>
    <w:rsid w:val="005A529C"/>
    <w:rsid w:val="005A79F4"/>
    <w:rsid w:val="005B01A4"/>
    <w:rsid w:val="005B1619"/>
    <w:rsid w:val="005B2F00"/>
    <w:rsid w:val="005B471E"/>
    <w:rsid w:val="005C267A"/>
    <w:rsid w:val="005C378B"/>
    <w:rsid w:val="005C597B"/>
    <w:rsid w:val="005C6865"/>
    <w:rsid w:val="005D2110"/>
    <w:rsid w:val="005E1EB4"/>
    <w:rsid w:val="005E7E47"/>
    <w:rsid w:val="005F0BE7"/>
    <w:rsid w:val="00614060"/>
    <w:rsid w:val="00615320"/>
    <w:rsid w:val="00622F80"/>
    <w:rsid w:val="00623954"/>
    <w:rsid w:val="00627CF3"/>
    <w:rsid w:val="00634859"/>
    <w:rsid w:val="00640090"/>
    <w:rsid w:val="0064552E"/>
    <w:rsid w:val="006605A5"/>
    <w:rsid w:val="006605D4"/>
    <w:rsid w:val="00665AF9"/>
    <w:rsid w:val="0067372F"/>
    <w:rsid w:val="00673F92"/>
    <w:rsid w:val="00695B13"/>
    <w:rsid w:val="006A4833"/>
    <w:rsid w:val="006B772D"/>
    <w:rsid w:val="006D012F"/>
    <w:rsid w:val="006D661D"/>
    <w:rsid w:val="006E4256"/>
    <w:rsid w:val="006E47AA"/>
    <w:rsid w:val="006E5B3A"/>
    <w:rsid w:val="006F111F"/>
    <w:rsid w:val="006F7AD6"/>
    <w:rsid w:val="0070203C"/>
    <w:rsid w:val="0070344A"/>
    <w:rsid w:val="00704AEB"/>
    <w:rsid w:val="00712406"/>
    <w:rsid w:val="00715275"/>
    <w:rsid w:val="00722D80"/>
    <w:rsid w:val="007334F3"/>
    <w:rsid w:val="0073710D"/>
    <w:rsid w:val="007414C5"/>
    <w:rsid w:val="00742C4C"/>
    <w:rsid w:val="007462F6"/>
    <w:rsid w:val="00746DEE"/>
    <w:rsid w:val="00747961"/>
    <w:rsid w:val="007501D5"/>
    <w:rsid w:val="00755F00"/>
    <w:rsid w:val="00756BCA"/>
    <w:rsid w:val="007605A1"/>
    <w:rsid w:val="00763428"/>
    <w:rsid w:val="0076749C"/>
    <w:rsid w:val="00774458"/>
    <w:rsid w:val="007769A0"/>
    <w:rsid w:val="007829C7"/>
    <w:rsid w:val="007A2823"/>
    <w:rsid w:val="007A557A"/>
    <w:rsid w:val="007A6BD3"/>
    <w:rsid w:val="007B49A3"/>
    <w:rsid w:val="007C12DF"/>
    <w:rsid w:val="007C17D5"/>
    <w:rsid w:val="007C19E8"/>
    <w:rsid w:val="007D12EA"/>
    <w:rsid w:val="007D77DD"/>
    <w:rsid w:val="007E2E15"/>
    <w:rsid w:val="007E7CB9"/>
    <w:rsid w:val="007F28B2"/>
    <w:rsid w:val="00801BFE"/>
    <w:rsid w:val="00802516"/>
    <w:rsid w:val="00804188"/>
    <w:rsid w:val="00816891"/>
    <w:rsid w:val="00821F44"/>
    <w:rsid w:val="008246D9"/>
    <w:rsid w:val="00831500"/>
    <w:rsid w:val="00831A74"/>
    <w:rsid w:val="008472DB"/>
    <w:rsid w:val="00847A88"/>
    <w:rsid w:val="00847ACE"/>
    <w:rsid w:val="008721AE"/>
    <w:rsid w:val="00872991"/>
    <w:rsid w:val="0087703A"/>
    <w:rsid w:val="00881154"/>
    <w:rsid w:val="00881B80"/>
    <w:rsid w:val="008844C0"/>
    <w:rsid w:val="0089331B"/>
    <w:rsid w:val="008977C4"/>
    <w:rsid w:val="008A3EAE"/>
    <w:rsid w:val="008A6FFE"/>
    <w:rsid w:val="008B0EBD"/>
    <w:rsid w:val="008C17EE"/>
    <w:rsid w:val="008C2123"/>
    <w:rsid w:val="008C24BA"/>
    <w:rsid w:val="008C6201"/>
    <w:rsid w:val="008E4501"/>
    <w:rsid w:val="008E5E40"/>
    <w:rsid w:val="008F160C"/>
    <w:rsid w:val="008F36D7"/>
    <w:rsid w:val="008F51CF"/>
    <w:rsid w:val="008F6D69"/>
    <w:rsid w:val="009021E7"/>
    <w:rsid w:val="0091165B"/>
    <w:rsid w:val="009141CB"/>
    <w:rsid w:val="00915A46"/>
    <w:rsid w:val="00915DBB"/>
    <w:rsid w:val="00915E4E"/>
    <w:rsid w:val="00935E4C"/>
    <w:rsid w:val="00945401"/>
    <w:rsid w:val="00950402"/>
    <w:rsid w:val="009509F5"/>
    <w:rsid w:val="009543F0"/>
    <w:rsid w:val="0096183C"/>
    <w:rsid w:val="00967807"/>
    <w:rsid w:val="00974406"/>
    <w:rsid w:val="00980173"/>
    <w:rsid w:val="009900BF"/>
    <w:rsid w:val="0099023E"/>
    <w:rsid w:val="00995FF2"/>
    <w:rsid w:val="009A35CD"/>
    <w:rsid w:val="009A7530"/>
    <w:rsid w:val="009B339E"/>
    <w:rsid w:val="009B572D"/>
    <w:rsid w:val="009B675C"/>
    <w:rsid w:val="009D072D"/>
    <w:rsid w:val="009D1E25"/>
    <w:rsid w:val="009E613F"/>
    <w:rsid w:val="009E7DF1"/>
    <w:rsid w:val="009F7781"/>
    <w:rsid w:val="009F7920"/>
    <w:rsid w:val="00A018DE"/>
    <w:rsid w:val="00A03884"/>
    <w:rsid w:val="00A05B01"/>
    <w:rsid w:val="00A07785"/>
    <w:rsid w:val="00A165B6"/>
    <w:rsid w:val="00A25FDA"/>
    <w:rsid w:val="00A2637A"/>
    <w:rsid w:val="00A278BF"/>
    <w:rsid w:val="00A42705"/>
    <w:rsid w:val="00A43B59"/>
    <w:rsid w:val="00A45639"/>
    <w:rsid w:val="00A468BF"/>
    <w:rsid w:val="00A511B2"/>
    <w:rsid w:val="00A51359"/>
    <w:rsid w:val="00A57F47"/>
    <w:rsid w:val="00A606B4"/>
    <w:rsid w:val="00A60D2B"/>
    <w:rsid w:val="00A71299"/>
    <w:rsid w:val="00A71D4D"/>
    <w:rsid w:val="00A74487"/>
    <w:rsid w:val="00A8192C"/>
    <w:rsid w:val="00A904A1"/>
    <w:rsid w:val="00A907A9"/>
    <w:rsid w:val="00A9709C"/>
    <w:rsid w:val="00AA59B7"/>
    <w:rsid w:val="00AB49EC"/>
    <w:rsid w:val="00AB6E35"/>
    <w:rsid w:val="00AB6E41"/>
    <w:rsid w:val="00AE2515"/>
    <w:rsid w:val="00AE41EB"/>
    <w:rsid w:val="00AF0009"/>
    <w:rsid w:val="00B0308F"/>
    <w:rsid w:val="00B04478"/>
    <w:rsid w:val="00B048F3"/>
    <w:rsid w:val="00B04DFC"/>
    <w:rsid w:val="00B11CFD"/>
    <w:rsid w:val="00B1503D"/>
    <w:rsid w:val="00B2510C"/>
    <w:rsid w:val="00B2709B"/>
    <w:rsid w:val="00B33388"/>
    <w:rsid w:val="00B341A5"/>
    <w:rsid w:val="00B43977"/>
    <w:rsid w:val="00B63FB3"/>
    <w:rsid w:val="00B643F1"/>
    <w:rsid w:val="00B649DE"/>
    <w:rsid w:val="00B64AE2"/>
    <w:rsid w:val="00B80C53"/>
    <w:rsid w:val="00B82960"/>
    <w:rsid w:val="00B85480"/>
    <w:rsid w:val="00B9090F"/>
    <w:rsid w:val="00B91953"/>
    <w:rsid w:val="00B94ADE"/>
    <w:rsid w:val="00B9735D"/>
    <w:rsid w:val="00B97581"/>
    <w:rsid w:val="00BA5C36"/>
    <w:rsid w:val="00BA6094"/>
    <w:rsid w:val="00BB026D"/>
    <w:rsid w:val="00BB3C3A"/>
    <w:rsid w:val="00BB6673"/>
    <w:rsid w:val="00BB72E1"/>
    <w:rsid w:val="00BB7F86"/>
    <w:rsid w:val="00BC06A4"/>
    <w:rsid w:val="00BE37D6"/>
    <w:rsid w:val="00BE6F0F"/>
    <w:rsid w:val="00BE7443"/>
    <w:rsid w:val="00BF59C2"/>
    <w:rsid w:val="00BF5AED"/>
    <w:rsid w:val="00BF6F37"/>
    <w:rsid w:val="00C00759"/>
    <w:rsid w:val="00C037F4"/>
    <w:rsid w:val="00C04FAF"/>
    <w:rsid w:val="00C166DD"/>
    <w:rsid w:val="00C30A90"/>
    <w:rsid w:val="00C332B0"/>
    <w:rsid w:val="00C35EC4"/>
    <w:rsid w:val="00C54B9B"/>
    <w:rsid w:val="00C575C7"/>
    <w:rsid w:val="00C61DE4"/>
    <w:rsid w:val="00C71DE2"/>
    <w:rsid w:val="00C75323"/>
    <w:rsid w:val="00C808BB"/>
    <w:rsid w:val="00C810D4"/>
    <w:rsid w:val="00C853B1"/>
    <w:rsid w:val="00C91BE8"/>
    <w:rsid w:val="00C92F81"/>
    <w:rsid w:val="00C97AFA"/>
    <w:rsid w:val="00CA0CE7"/>
    <w:rsid w:val="00CB41A0"/>
    <w:rsid w:val="00CB5FDF"/>
    <w:rsid w:val="00CC0FC4"/>
    <w:rsid w:val="00CC52EA"/>
    <w:rsid w:val="00CC67F7"/>
    <w:rsid w:val="00CD04C8"/>
    <w:rsid w:val="00CD535C"/>
    <w:rsid w:val="00CE1EF5"/>
    <w:rsid w:val="00CF7778"/>
    <w:rsid w:val="00D0552A"/>
    <w:rsid w:val="00D14400"/>
    <w:rsid w:val="00D16CFD"/>
    <w:rsid w:val="00D1717C"/>
    <w:rsid w:val="00D20F9A"/>
    <w:rsid w:val="00D21841"/>
    <w:rsid w:val="00D24520"/>
    <w:rsid w:val="00D25728"/>
    <w:rsid w:val="00D27D23"/>
    <w:rsid w:val="00D3159C"/>
    <w:rsid w:val="00D323AC"/>
    <w:rsid w:val="00D41266"/>
    <w:rsid w:val="00D45033"/>
    <w:rsid w:val="00D45DEA"/>
    <w:rsid w:val="00D4769C"/>
    <w:rsid w:val="00D478FA"/>
    <w:rsid w:val="00D64BEC"/>
    <w:rsid w:val="00D722EB"/>
    <w:rsid w:val="00D72BC0"/>
    <w:rsid w:val="00D812F8"/>
    <w:rsid w:val="00D81D4B"/>
    <w:rsid w:val="00D84EFA"/>
    <w:rsid w:val="00D91B77"/>
    <w:rsid w:val="00D9383E"/>
    <w:rsid w:val="00D96B5A"/>
    <w:rsid w:val="00DB0068"/>
    <w:rsid w:val="00DB19AE"/>
    <w:rsid w:val="00DB1EB5"/>
    <w:rsid w:val="00DB302B"/>
    <w:rsid w:val="00DB48E4"/>
    <w:rsid w:val="00DB5ACD"/>
    <w:rsid w:val="00DC082A"/>
    <w:rsid w:val="00DC5C78"/>
    <w:rsid w:val="00DD105D"/>
    <w:rsid w:val="00DD3BFD"/>
    <w:rsid w:val="00DF0B4D"/>
    <w:rsid w:val="00DF162F"/>
    <w:rsid w:val="00E00B8F"/>
    <w:rsid w:val="00E046A3"/>
    <w:rsid w:val="00E1544E"/>
    <w:rsid w:val="00E15B3D"/>
    <w:rsid w:val="00E262FC"/>
    <w:rsid w:val="00E3089D"/>
    <w:rsid w:val="00E31817"/>
    <w:rsid w:val="00E37B12"/>
    <w:rsid w:val="00E45A3C"/>
    <w:rsid w:val="00E51655"/>
    <w:rsid w:val="00E54449"/>
    <w:rsid w:val="00E57BB5"/>
    <w:rsid w:val="00E61BBE"/>
    <w:rsid w:val="00E65C23"/>
    <w:rsid w:val="00E67B1A"/>
    <w:rsid w:val="00E71A16"/>
    <w:rsid w:val="00E71FCD"/>
    <w:rsid w:val="00E728CB"/>
    <w:rsid w:val="00E7610C"/>
    <w:rsid w:val="00E77EFE"/>
    <w:rsid w:val="00E86924"/>
    <w:rsid w:val="00E86BF0"/>
    <w:rsid w:val="00E87B0F"/>
    <w:rsid w:val="00E9362D"/>
    <w:rsid w:val="00EA6B89"/>
    <w:rsid w:val="00EB034D"/>
    <w:rsid w:val="00EB16C0"/>
    <w:rsid w:val="00EC6A23"/>
    <w:rsid w:val="00ED1011"/>
    <w:rsid w:val="00ED37BC"/>
    <w:rsid w:val="00EE4C94"/>
    <w:rsid w:val="00EE4DA1"/>
    <w:rsid w:val="00EF2AE7"/>
    <w:rsid w:val="00F01F02"/>
    <w:rsid w:val="00F0522B"/>
    <w:rsid w:val="00F06B3B"/>
    <w:rsid w:val="00F117B7"/>
    <w:rsid w:val="00F11F4E"/>
    <w:rsid w:val="00F14375"/>
    <w:rsid w:val="00F1669A"/>
    <w:rsid w:val="00F179D3"/>
    <w:rsid w:val="00F22618"/>
    <w:rsid w:val="00F248C1"/>
    <w:rsid w:val="00F357FC"/>
    <w:rsid w:val="00F378A9"/>
    <w:rsid w:val="00F52C53"/>
    <w:rsid w:val="00F6029F"/>
    <w:rsid w:val="00F67DC8"/>
    <w:rsid w:val="00F7073E"/>
    <w:rsid w:val="00F71389"/>
    <w:rsid w:val="00F73B20"/>
    <w:rsid w:val="00F77011"/>
    <w:rsid w:val="00F83A64"/>
    <w:rsid w:val="00F9280F"/>
    <w:rsid w:val="00F95A5C"/>
    <w:rsid w:val="00F97996"/>
    <w:rsid w:val="00FA6369"/>
    <w:rsid w:val="00FB14DA"/>
    <w:rsid w:val="00FB33F4"/>
    <w:rsid w:val="00FB3710"/>
    <w:rsid w:val="00FB59A6"/>
    <w:rsid w:val="00FC0643"/>
    <w:rsid w:val="00FC41F9"/>
    <w:rsid w:val="00FC5A15"/>
    <w:rsid w:val="00FE0C76"/>
    <w:rsid w:val="00FE4CE4"/>
    <w:rsid w:val="00FE7D4F"/>
    <w:rsid w:val="00FF5119"/>
    <w:rsid w:val="00FF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9F834C6"/>
  <w15:chartTrackingRefBased/>
  <w15:docId w15:val="{66293DDA-A37A-45A7-8C60-23C9AB1B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DB19AE"/>
    <w:pPr>
      <w:spacing w:after="0" w:line="240" w:lineRule="auto"/>
      <w:ind w:left="720"/>
    </w:pPr>
    <w:rPr>
      <w:rFonts w:ascii="Times New Roman" w:hAnsi="Times New Roman" w:cs="Times New Roman"/>
      <w:sz w:val="24"/>
      <w:szCs w:val="24"/>
      <w:lang w:eastAsia="en-GB"/>
    </w:rPr>
  </w:style>
  <w:style w:type="paragraph" w:styleId="Header">
    <w:name w:val="header"/>
    <w:basedOn w:val="Normal"/>
    <w:link w:val="HeaderChar"/>
    <w:unhideWhenUsed/>
    <w:rsid w:val="00C97AFA"/>
    <w:pPr>
      <w:tabs>
        <w:tab w:val="center" w:pos="4513"/>
        <w:tab w:val="right" w:pos="9026"/>
      </w:tabs>
      <w:spacing w:after="0" w:line="240" w:lineRule="auto"/>
    </w:pPr>
  </w:style>
  <w:style w:type="character" w:customStyle="1" w:styleId="HeaderChar">
    <w:name w:val="Header Char"/>
    <w:basedOn w:val="DefaultParagraphFont"/>
    <w:link w:val="Header"/>
    <w:rsid w:val="00C97AFA"/>
  </w:style>
  <w:style w:type="paragraph" w:styleId="Footer">
    <w:name w:val="footer"/>
    <w:basedOn w:val="Normal"/>
    <w:link w:val="FooterChar"/>
    <w:uiPriority w:val="99"/>
    <w:unhideWhenUsed/>
    <w:rsid w:val="00C9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FA"/>
  </w:style>
  <w:style w:type="character" w:styleId="Hyperlink">
    <w:name w:val="Hyperlink"/>
    <w:basedOn w:val="DefaultParagraphFont"/>
    <w:uiPriority w:val="99"/>
    <w:unhideWhenUsed/>
    <w:rsid w:val="00A03884"/>
    <w:rPr>
      <w:color w:val="1181C1"/>
      <w:u w:val="single"/>
    </w:rPr>
  </w:style>
  <w:style w:type="paragraph" w:customStyle="1" w:styleId="MainText">
    <w:name w:val="Main Text"/>
    <w:basedOn w:val="Normal"/>
    <w:link w:val="MainTextChar"/>
    <w:rsid w:val="00FA6369"/>
    <w:pPr>
      <w:spacing w:after="0" w:line="280" w:lineRule="exact"/>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B82960"/>
    <w:rPr>
      <w:sz w:val="16"/>
      <w:szCs w:val="16"/>
    </w:rPr>
  </w:style>
  <w:style w:type="paragraph" w:styleId="CommentText">
    <w:name w:val="annotation text"/>
    <w:basedOn w:val="Normal"/>
    <w:link w:val="CommentTextChar"/>
    <w:uiPriority w:val="99"/>
    <w:semiHidden/>
    <w:unhideWhenUsed/>
    <w:rsid w:val="00B82960"/>
    <w:pPr>
      <w:spacing w:line="240" w:lineRule="auto"/>
    </w:pPr>
    <w:rPr>
      <w:sz w:val="20"/>
      <w:szCs w:val="20"/>
    </w:rPr>
  </w:style>
  <w:style w:type="character" w:customStyle="1" w:styleId="CommentTextChar">
    <w:name w:val="Comment Text Char"/>
    <w:basedOn w:val="DefaultParagraphFont"/>
    <w:link w:val="CommentText"/>
    <w:uiPriority w:val="99"/>
    <w:semiHidden/>
    <w:rsid w:val="00B82960"/>
    <w:rPr>
      <w:sz w:val="20"/>
      <w:szCs w:val="20"/>
    </w:rPr>
  </w:style>
  <w:style w:type="paragraph" w:styleId="BalloonText">
    <w:name w:val="Balloon Text"/>
    <w:basedOn w:val="Normal"/>
    <w:link w:val="BalloonTextChar"/>
    <w:uiPriority w:val="99"/>
    <w:semiHidden/>
    <w:unhideWhenUsed/>
    <w:rsid w:val="00B82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60"/>
    <w:rPr>
      <w:rFonts w:ascii="Segoe UI" w:hAnsi="Segoe UI" w:cs="Segoe UI"/>
      <w:sz w:val="18"/>
      <w:szCs w:val="18"/>
    </w:rPr>
  </w:style>
  <w:style w:type="character" w:styleId="Emphasis">
    <w:name w:val="Emphasis"/>
    <w:basedOn w:val="DefaultParagraphFont"/>
    <w:uiPriority w:val="20"/>
    <w:qFormat/>
    <w:rsid w:val="001C3209"/>
    <w:rPr>
      <w:b/>
      <w:bCs/>
      <w:i w:val="0"/>
      <w:iCs w:val="0"/>
    </w:rPr>
  </w:style>
  <w:style w:type="character" w:customStyle="1" w:styleId="st1">
    <w:name w:val="st1"/>
    <w:basedOn w:val="DefaultParagraphFont"/>
    <w:rsid w:val="001C3209"/>
  </w:style>
  <w:style w:type="character" w:styleId="FollowedHyperlink">
    <w:name w:val="FollowedHyperlink"/>
    <w:basedOn w:val="DefaultParagraphFont"/>
    <w:uiPriority w:val="99"/>
    <w:semiHidden/>
    <w:unhideWhenUsed/>
    <w:rsid w:val="0059353E"/>
    <w:rPr>
      <w:color w:val="954F72" w:themeColor="followedHyperlink"/>
      <w:u w:val="single"/>
    </w:rPr>
  </w:style>
  <w:style w:type="paragraph" w:customStyle="1" w:styleId="LGAItemNoHeading">
    <w:name w:val="LGA Item No Heading"/>
    <w:basedOn w:val="MainText"/>
    <w:rsid w:val="00284AE7"/>
    <w:pPr>
      <w:spacing w:before="600" w:after="240"/>
    </w:pPr>
    <w:rPr>
      <w:rFonts w:ascii="Frutiger 55 Roman" w:hAnsi="Frutiger 55 Roman"/>
      <w:b/>
      <w:sz w:val="32"/>
    </w:rPr>
  </w:style>
  <w:style w:type="character" w:customStyle="1" w:styleId="MainTextChar">
    <w:name w:val="Main Text Char"/>
    <w:link w:val="MainText"/>
    <w:locked/>
    <w:rsid w:val="008F51CF"/>
    <w:rPr>
      <w:rFonts w:ascii="Frutiger 45 Light" w:eastAsia="Times New Roman" w:hAnsi="Frutiger 45 Light" w:cs="Times New Roman"/>
      <w:szCs w:val="20"/>
      <w:lang w:eastAsia="en-GB"/>
    </w:rPr>
  </w:style>
  <w:style w:type="paragraph" w:customStyle="1" w:styleId="Default">
    <w:name w:val="Default"/>
    <w:rsid w:val="00EE4DA1"/>
    <w:pPr>
      <w:autoSpaceDE w:val="0"/>
      <w:autoSpaceDN w:val="0"/>
      <w:adjustRightInd w:val="0"/>
      <w:spacing w:after="0" w:line="240" w:lineRule="auto"/>
    </w:pPr>
    <w:rPr>
      <w:color w:val="000000"/>
      <w:sz w:val="24"/>
      <w:szCs w:val="24"/>
    </w:rPr>
  </w:style>
  <w:style w:type="paragraph" w:customStyle="1" w:styleId="Body">
    <w:name w:val="Body"/>
    <w:rsid w:val="003C72F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qFormat/>
    <w:locked/>
    <w:rsid w:val="0023518E"/>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50DDA"/>
    <w:rPr>
      <w:b/>
      <w:bCs/>
    </w:rPr>
  </w:style>
  <w:style w:type="character" w:customStyle="1" w:styleId="CommentSubjectChar">
    <w:name w:val="Comment Subject Char"/>
    <w:basedOn w:val="CommentTextChar"/>
    <w:link w:val="CommentSubject"/>
    <w:uiPriority w:val="99"/>
    <w:semiHidden/>
    <w:rsid w:val="00250D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9670">
      <w:bodyDiv w:val="1"/>
      <w:marLeft w:val="0"/>
      <w:marRight w:val="0"/>
      <w:marTop w:val="0"/>
      <w:marBottom w:val="0"/>
      <w:divBdr>
        <w:top w:val="none" w:sz="0" w:space="0" w:color="auto"/>
        <w:left w:val="none" w:sz="0" w:space="0" w:color="auto"/>
        <w:bottom w:val="none" w:sz="0" w:space="0" w:color="auto"/>
        <w:right w:val="none" w:sz="0" w:space="0" w:color="auto"/>
      </w:divBdr>
    </w:div>
    <w:div w:id="112751198">
      <w:bodyDiv w:val="1"/>
      <w:marLeft w:val="0"/>
      <w:marRight w:val="0"/>
      <w:marTop w:val="0"/>
      <w:marBottom w:val="0"/>
      <w:divBdr>
        <w:top w:val="none" w:sz="0" w:space="0" w:color="auto"/>
        <w:left w:val="none" w:sz="0" w:space="0" w:color="auto"/>
        <w:bottom w:val="none" w:sz="0" w:space="0" w:color="auto"/>
        <w:right w:val="none" w:sz="0" w:space="0" w:color="auto"/>
      </w:divBdr>
    </w:div>
    <w:div w:id="121579316">
      <w:bodyDiv w:val="1"/>
      <w:marLeft w:val="0"/>
      <w:marRight w:val="0"/>
      <w:marTop w:val="0"/>
      <w:marBottom w:val="0"/>
      <w:divBdr>
        <w:top w:val="none" w:sz="0" w:space="0" w:color="auto"/>
        <w:left w:val="none" w:sz="0" w:space="0" w:color="auto"/>
        <w:bottom w:val="none" w:sz="0" w:space="0" w:color="auto"/>
        <w:right w:val="none" w:sz="0" w:space="0" w:color="auto"/>
      </w:divBdr>
    </w:div>
    <w:div w:id="147718403">
      <w:bodyDiv w:val="1"/>
      <w:marLeft w:val="0"/>
      <w:marRight w:val="0"/>
      <w:marTop w:val="0"/>
      <w:marBottom w:val="0"/>
      <w:divBdr>
        <w:top w:val="none" w:sz="0" w:space="0" w:color="auto"/>
        <w:left w:val="none" w:sz="0" w:space="0" w:color="auto"/>
        <w:bottom w:val="none" w:sz="0" w:space="0" w:color="auto"/>
        <w:right w:val="none" w:sz="0" w:space="0" w:color="auto"/>
      </w:divBdr>
    </w:div>
    <w:div w:id="182592391">
      <w:bodyDiv w:val="1"/>
      <w:marLeft w:val="0"/>
      <w:marRight w:val="0"/>
      <w:marTop w:val="0"/>
      <w:marBottom w:val="0"/>
      <w:divBdr>
        <w:top w:val="none" w:sz="0" w:space="0" w:color="auto"/>
        <w:left w:val="none" w:sz="0" w:space="0" w:color="auto"/>
        <w:bottom w:val="none" w:sz="0" w:space="0" w:color="auto"/>
        <w:right w:val="none" w:sz="0" w:space="0" w:color="auto"/>
      </w:divBdr>
    </w:div>
    <w:div w:id="240793032">
      <w:bodyDiv w:val="1"/>
      <w:marLeft w:val="0"/>
      <w:marRight w:val="0"/>
      <w:marTop w:val="0"/>
      <w:marBottom w:val="0"/>
      <w:divBdr>
        <w:top w:val="none" w:sz="0" w:space="0" w:color="auto"/>
        <w:left w:val="none" w:sz="0" w:space="0" w:color="auto"/>
        <w:bottom w:val="none" w:sz="0" w:space="0" w:color="auto"/>
        <w:right w:val="none" w:sz="0" w:space="0" w:color="auto"/>
      </w:divBdr>
    </w:div>
    <w:div w:id="259605025">
      <w:bodyDiv w:val="1"/>
      <w:marLeft w:val="0"/>
      <w:marRight w:val="0"/>
      <w:marTop w:val="0"/>
      <w:marBottom w:val="0"/>
      <w:divBdr>
        <w:top w:val="none" w:sz="0" w:space="0" w:color="auto"/>
        <w:left w:val="none" w:sz="0" w:space="0" w:color="auto"/>
        <w:bottom w:val="none" w:sz="0" w:space="0" w:color="auto"/>
        <w:right w:val="none" w:sz="0" w:space="0" w:color="auto"/>
      </w:divBdr>
    </w:div>
    <w:div w:id="434902864">
      <w:bodyDiv w:val="1"/>
      <w:marLeft w:val="0"/>
      <w:marRight w:val="0"/>
      <w:marTop w:val="0"/>
      <w:marBottom w:val="0"/>
      <w:divBdr>
        <w:top w:val="none" w:sz="0" w:space="0" w:color="auto"/>
        <w:left w:val="none" w:sz="0" w:space="0" w:color="auto"/>
        <w:bottom w:val="none" w:sz="0" w:space="0" w:color="auto"/>
        <w:right w:val="none" w:sz="0" w:space="0" w:color="auto"/>
      </w:divBdr>
    </w:div>
    <w:div w:id="504904913">
      <w:bodyDiv w:val="1"/>
      <w:marLeft w:val="0"/>
      <w:marRight w:val="0"/>
      <w:marTop w:val="0"/>
      <w:marBottom w:val="0"/>
      <w:divBdr>
        <w:top w:val="none" w:sz="0" w:space="0" w:color="auto"/>
        <w:left w:val="none" w:sz="0" w:space="0" w:color="auto"/>
        <w:bottom w:val="none" w:sz="0" w:space="0" w:color="auto"/>
        <w:right w:val="none" w:sz="0" w:space="0" w:color="auto"/>
      </w:divBdr>
    </w:div>
    <w:div w:id="576940792">
      <w:bodyDiv w:val="1"/>
      <w:marLeft w:val="0"/>
      <w:marRight w:val="0"/>
      <w:marTop w:val="0"/>
      <w:marBottom w:val="0"/>
      <w:divBdr>
        <w:top w:val="none" w:sz="0" w:space="0" w:color="auto"/>
        <w:left w:val="none" w:sz="0" w:space="0" w:color="auto"/>
        <w:bottom w:val="none" w:sz="0" w:space="0" w:color="auto"/>
        <w:right w:val="none" w:sz="0" w:space="0" w:color="auto"/>
      </w:divBdr>
    </w:div>
    <w:div w:id="578757364">
      <w:bodyDiv w:val="1"/>
      <w:marLeft w:val="0"/>
      <w:marRight w:val="0"/>
      <w:marTop w:val="0"/>
      <w:marBottom w:val="0"/>
      <w:divBdr>
        <w:top w:val="none" w:sz="0" w:space="0" w:color="auto"/>
        <w:left w:val="none" w:sz="0" w:space="0" w:color="auto"/>
        <w:bottom w:val="none" w:sz="0" w:space="0" w:color="auto"/>
        <w:right w:val="none" w:sz="0" w:space="0" w:color="auto"/>
      </w:divBdr>
    </w:div>
    <w:div w:id="773017755">
      <w:bodyDiv w:val="1"/>
      <w:marLeft w:val="0"/>
      <w:marRight w:val="0"/>
      <w:marTop w:val="0"/>
      <w:marBottom w:val="0"/>
      <w:divBdr>
        <w:top w:val="none" w:sz="0" w:space="0" w:color="auto"/>
        <w:left w:val="none" w:sz="0" w:space="0" w:color="auto"/>
        <w:bottom w:val="none" w:sz="0" w:space="0" w:color="auto"/>
        <w:right w:val="none" w:sz="0" w:space="0" w:color="auto"/>
      </w:divBdr>
    </w:div>
    <w:div w:id="824785510">
      <w:bodyDiv w:val="1"/>
      <w:marLeft w:val="0"/>
      <w:marRight w:val="0"/>
      <w:marTop w:val="0"/>
      <w:marBottom w:val="0"/>
      <w:divBdr>
        <w:top w:val="none" w:sz="0" w:space="0" w:color="auto"/>
        <w:left w:val="none" w:sz="0" w:space="0" w:color="auto"/>
        <w:bottom w:val="none" w:sz="0" w:space="0" w:color="auto"/>
        <w:right w:val="none" w:sz="0" w:space="0" w:color="auto"/>
      </w:divBdr>
    </w:div>
    <w:div w:id="1040282247">
      <w:bodyDiv w:val="1"/>
      <w:marLeft w:val="0"/>
      <w:marRight w:val="0"/>
      <w:marTop w:val="0"/>
      <w:marBottom w:val="0"/>
      <w:divBdr>
        <w:top w:val="none" w:sz="0" w:space="0" w:color="auto"/>
        <w:left w:val="none" w:sz="0" w:space="0" w:color="auto"/>
        <w:bottom w:val="none" w:sz="0" w:space="0" w:color="auto"/>
        <w:right w:val="none" w:sz="0" w:space="0" w:color="auto"/>
      </w:divBdr>
    </w:div>
    <w:div w:id="1080372344">
      <w:bodyDiv w:val="1"/>
      <w:marLeft w:val="0"/>
      <w:marRight w:val="0"/>
      <w:marTop w:val="0"/>
      <w:marBottom w:val="0"/>
      <w:divBdr>
        <w:top w:val="none" w:sz="0" w:space="0" w:color="auto"/>
        <w:left w:val="none" w:sz="0" w:space="0" w:color="auto"/>
        <w:bottom w:val="none" w:sz="0" w:space="0" w:color="auto"/>
        <w:right w:val="none" w:sz="0" w:space="0" w:color="auto"/>
      </w:divBdr>
    </w:div>
    <w:div w:id="1241451909">
      <w:bodyDiv w:val="1"/>
      <w:marLeft w:val="0"/>
      <w:marRight w:val="0"/>
      <w:marTop w:val="0"/>
      <w:marBottom w:val="0"/>
      <w:divBdr>
        <w:top w:val="none" w:sz="0" w:space="0" w:color="auto"/>
        <w:left w:val="none" w:sz="0" w:space="0" w:color="auto"/>
        <w:bottom w:val="none" w:sz="0" w:space="0" w:color="auto"/>
        <w:right w:val="none" w:sz="0" w:space="0" w:color="auto"/>
      </w:divBdr>
    </w:div>
    <w:div w:id="1254245397">
      <w:bodyDiv w:val="1"/>
      <w:marLeft w:val="0"/>
      <w:marRight w:val="0"/>
      <w:marTop w:val="0"/>
      <w:marBottom w:val="0"/>
      <w:divBdr>
        <w:top w:val="none" w:sz="0" w:space="0" w:color="auto"/>
        <w:left w:val="none" w:sz="0" w:space="0" w:color="auto"/>
        <w:bottom w:val="none" w:sz="0" w:space="0" w:color="auto"/>
        <w:right w:val="none" w:sz="0" w:space="0" w:color="auto"/>
      </w:divBdr>
    </w:div>
    <w:div w:id="1255476527">
      <w:bodyDiv w:val="1"/>
      <w:marLeft w:val="0"/>
      <w:marRight w:val="0"/>
      <w:marTop w:val="0"/>
      <w:marBottom w:val="0"/>
      <w:divBdr>
        <w:top w:val="none" w:sz="0" w:space="0" w:color="auto"/>
        <w:left w:val="none" w:sz="0" w:space="0" w:color="auto"/>
        <w:bottom w:val="none" w:sz="0" w:space="0" w:color="auto"/>
        <w:right w:val="none" w:sz="0" w:space="0" w:color="auto"/>
      </w:divBdr>
    </w:div>
    <w:div w:id="1274508552">
      <w:bodyDiv w:val="1"/>
      <w:marLeft w:val="0"/>
      <w:marRight w:val="0"/>
      <w:marTop w:val="0"/>
      <w:marBottom w:val="0"/>
      <w:divBdr>
        <w:top w:val="none" w:sz="0" w:space="0" w:color="auto"/>
        <w:left w:val="none" w:sz="0" w:space="0" w:color="auto"/>
        <w:bottom w:val="none" w:sz="0" w:space="0" w:color="auto"/>
        <w:right w:val="none" w:sz="0" w:space="0" w:color="auto"/>
      </w:divBdr>
    </w:div>
    <w:div w:id="1342858141">
      <w:bodyDiv w:val="1"/>
      <w:marLeft w:val="0"/>
      <w:marRight w:val="0"/>
      <w:marTop w:val="0"/>
      <w:marBottom w:val="0"/>
      <w:divBdr>
        <w:top w:val="none" w:sz="0" w:space="0" w:color="auto"/>
        <w:left w:val="none" w:sz="0" w:space="0" w:color="auto"/>
        <w:bottom w:val="none" w:sz="0" w:space="0" w:color="auto"/>
        <w:right w:val="none" w:sz="0" w:space="0" w:color="auto"/>
      </w:divBdr>
    </w:div>
    <w:div w:id="1434743101">
      <w:bodyDiv w:val="1"/>
      <w:marLeft w:val="0"/>
      <w:marRight w:val="0"/>
      <w:marTop w:val="0"/>
      <w:marBottom w:val="0"/>
      <w:divBdr>
        <w:top w:val="none" w:sz="0" w:space="0" w:color="auto"/>
        <w:left w:val="none" w:sz="0" w:space="0" w:color="auto"/>
        <w:bottom w:val="none" w:sz="0" w:space="0" w:color="auto"/>
        <w:right w:val="none" w:sz="0" w:space="0" w:color="auto"/>
      </w:divBdr>
    </w:div>
    <w:div w:id="1509638836">
      <w:bodyDiv w:val="1"/>
      <w:marLeft w:val="0"/>
      <w:marRight w:val="0"/>
      <w:marTop w:val="0"/>
      <w:marBottom w:val="0"/>
      <w:divBdr>
        <w:top w:val="none" w:sz="0" w:space="0" w:color="auto"/>
        <w:left w:val="none" w:sz="0" w:space="0" w:color="auto"/>
        <w:bottom w:val="none" w:sz="0" w:space="0" w:color="auto"/>
        <w:right w:val="none" w:sz="0" w:space="0" w:color="auto"/>
      </w:divBdr>
    </w:div>
    <w:div w:id="1532187875">
      <w:bodyDiv w:val="1"/>
      <w:marLeft w:val="0"/>
      <w:marRight w:val="0"/>
      <w:marTop w:val="0"/>
      <w:marBottom w:val="0"/>
      <w:divBdr>
        <w:top w:val="none" w:sz="0" w:space="0" w:color="auto"/>
        <w:left w:val="none" w:sz="0" w:space="0" w:color="auto"/>
        <w:bottom w:val="none" w:sz="0" w:space="0" w:color="auto"/>
        <w:right w:val="none" w:sz="0" w:space="0" w:color="auto"/>
      </w:divBdr>
    </w:div>
    <w:div w:id="1585991420">
      <w:bodyDiv w:val="1"/>
      <w:marLeft w:val="0"/>
      <w:marRight w:val="0"/>
      <w:marTop w:val="0"/>
      <w:marBottom w:val="0"/>
      <w:divBdr>
        <w:top w:val="none" w:sz="0" w:space="0" w:color="auto"/>
        <w:left w:val="none" w:sz="0" w:space="0" w:color="auto"/>
        <w:bottom w:val="none" w:sz="0" w:space="0" w:color="auto"/>
        <w:right w:val="none" w:sz="0" w:space="0" w:color="auto"/>
      </w:divBdr>
    </w:div>
    <w:div w:id="1605113187">
      <w:bodyDiv w:val="1"/>
      <w:marLeft w:val="0"/>
      <w:marRight w:val="0"/>
      <w:marTop w:val="0"/>
      <w:marBottom w:val="0"/>
      <w:divBdr>
        <w:top w:val="none" w:sz="0" w:space="0" w:color="auto"/>
        <w:left w:val="none" w:sz="0" w:space="0" w:color="auto"/>
        <w:bottom w:val="none" w:sz="0" w:space="0" w:color="auto"/>
        <w:right w:val="none" w:sz="0" w:space="0" w:color="auto"/>
      </w:divBdr>
    </w:div>
    <w:div w:id="1623803033">
      <w:bodyDiv w:val="1"/>
      <w:marLeft w:val="0"/>
      <w:marRight w:val="0"/>
      <w:marTop w:val="0"/>
      <w:marBottom w:val="0"/>
      <w:divBdr>
        <w:top w:val="none" w:sz="0" w:space="0" w:color="auto"/>
        <w:left w:val="none" w:sz="0" w:space="0" w:color="auto"/>
        <w:bottom w:val="none" w:sz="0" w:space="0" w:color="auto"/>
        <w:right w:val="none" w:sz="0" w:space="0" w:color="auto"/>
      </w:divBdr>
    </w:div>
    <w:div w:id="1767650813">
      <w:bodyDiv w:val="1"/>
      <w:marLeft w:val="0"/>
      <w:marRight w:val="0"/>
      <w:marTop w:val="0"/>
      <w:marBottom w:val="0"/>
      <w:divBdr>
        <w:top w:val="none" w:sz="0" w:space="0" w:color="auto"/>
        <w:left w:val="none" w:sz="0" w:space="0" w:color="auto"/>
        <w:bottom w:val="none" w:sz="0" w:space="0" w:color="auto"/>
        <w:right w:val="none" w:sz="0" w:space="0" w:color="auto"/>
      </w:divBdr>
    </w:div>
    <w:div w:id="1858929114">
      <w:bodyDiv w:val="1"/>
      <w:marLeft w:val="0"/>
      <w:marRight w:val="0"/>
      <w:marTop w:val="0"/>
      <w:marBottom w:val="0"/>
      <w:divBdr>
        <w:top w:val="none" w:sz="0" w:space="0" w:color="auto"/>
        <w:left w:val="none" w:sz="0" w:space="0" w:color="auto"/>
        <w:bottom w:val="none" w:sz="0" w:space="0" w:color="auto"/>
        <w:right w:val="none" w:sz="0" w:space="0" w:color="auto"/>
      </w:divBdr>
    </w:div>
    <w:div w:id="2009600957">
      <w:bodyDiv w:val="1"/>
      <w:marLeft w:val="0"/>
      <w:marRight w:val="0"/>
      <w:marTop w:val="0"/>
      <w:marBottom w:val="0"/>
      <w:divBdr>
        <w:top w:val="none" w:sz="0" w:space="0" w:color="auto"/>
        <w:left w:val="none" w:sz="0" w:space="0" w:color="auto"/>
        <w:bottom w:val="none" w:sz="0" w:space="0" w:color="auto"/>
        <w:right w:val="none" w:sz="0" w:space="0" w:color="auto"/>
      </w:divBdr>
    </w:div>
    <w:div w:id="210209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ola.Morton@loca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lga-autumn-budget-submission-201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CDE5-08E9-4B05-B32D-06B50C2A3ABC}">
  <ds:schemaRefs>
    <ds:schemaRef ds:uri="http://schemas.microsoft.com/sharepoint/v3/contenttype/forms"/>
  </ds:schemaRefs>
</ds:datastoreItem>
</file>

<file path=customXml/itemProps2.xml><?xml version="1.0" encoding="utf-8"?>
<ds:datastoreItem xmlns:ds="http://schemas.openxmlformats.org/officeDocument/2006/customXml" ds:itemID="{5E0B3646-1F99-48DA-99B7-DA4C1D5B3656}">
  <ds:schemaRefs>
    <ds:schemaRef ds:uri="http://schemas.microsoft.com/office/2006/documentManagement/types"/>
    <ds:schemaRef ds:uri="c8febe6a-14d9-43ab-83c3-c48f478fa47c"/>
    <ds:schemaRef ds:uri="http://schemas.microsoft.com/office/infopath/2007/PartnerControls"/>
    <ds:schemaRef ds:uri="http://www.w3.org/XML/1998/namespace"/>
    <ds:schemaRef ds:uri="http://purl.org/dc/terms/"/>
    <ds:schemaRef ds:uri="http://purl.org/dc/elements/1.1/"/>
    <ds:schemaRef ds:uri="1c8a0e75-f4bc-4eb4-8ed0-578eaea9e1ca"/>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495DBDD-ECB9-4B8A-8138-A226E3545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02E23-FD32-4804-9B3B-29BC8EF1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C461764</Template>
  <TotalTime>6</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Messenger</dc:creator>
  <cp:keywords/>
  <dc:description/>
  <cp:lastModifiedBy>Felicity Harris</cp:lastModifiedBy>
  <cp:revision>4</cp:revision>
  <dcterms:created xsi:type="dcterms:W3CDTF">2017-10-11T12:56:00Z</dcterms:created>
  <dcterms:modified xsi:type="dcterms:W3CDTF">2017-10-13T07:19:00Z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